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13FDA" w:rsidRPr="00613FDA" w:rsidRDefault="00613FDA" w:rsidP="00613FDA">
      <w:pPr>
        <w:spacing w:before="600" w:after="0" w:line="240" w:lineRule="auto"/>
        <w:outlineLvl w:val="2"/>
        <w:rPr>
          <w:rFonts w:ascii="Arial" w:eastAsia="Times New Roman" w:hAnsi="Arial" w:cs="Arial"/>
          <w:b/>
          <w:bCs/>
          <w:color w:val="000000"/>
          <w:sz w:val="27"/>
          <w:szCs w:val="27"/>
          <w:lang w:eastAsia="ru-RU"/>
        </w:rPr>
      </w:pPr>
      <w:r w:rsidRPr="00613FDA">
        <w:rPr>
          <w:rFonts w:ascii="Arial" w:eastAsia="Times New Roman" w:hAnsi="Arial" w:cs="Arial"/>
          <w:b/>
          <w:bCs/>
          <w:color w:val="000000"/>
          <w:sz w:val="27"/>
          <w:szCs w:val="27"/>
          <w:lang w:eastAsia="ru-RU"/>
        </w:rPr>
        <w:t xml:space="preserve"> Лекция 7 </w:t>
      </w:r>
      <w:r w:rsidRPr="00613FDA">
        <w:rPr>
          <w:rFonts w:ascii="Arial" w:eastAsia="Times New Roman" w:hAnsi="Arial" w:cs="Arial"/>
          <w:b/>
          <w:bCs/>
          <w:color w:val="000000"/>
          <w:sz w:val="27"/>
          <w:szCs w:val="27"/>
          <w:lang w:eastAsia="ru-RU"/>
        </w:rPr>
        <w:t>Заемные источники финансирования корпорации.</w:t>
      </w:r>
    </w:p>
    <w:p w:rsidR="00613FDA" w:rsidRPr="00613FDA" w:rsidRDefault="00613FDA" w:rsidP="00613FDA">
      <w:pPr>
        <w:spacing w:before="600" w:after="0" w:line="240" w:lineRule="auto"/>
        <w:outlineLvl w:val="2"/>
        <w:rPr>
          <w:rFonts w:ascii="Arial" w:eastAsia="Times New Roman" w:hAnsi="Arial" w:cs="Arial"/>
          <w:b/>
          <w:bCs/>
          <w:color w:val="000000"/>
          <w:sz w:val="27"/>
          <w:szCs w:val="27"/>
          <w:lang w:eastAsia="ru-RU"/>
        </w:rPr>
      </w:pPr>
      <w:r w:rsidRPr="00613FDA">
        <w:rPr>
          <w:rFonts w:ascii="Arial" w:eastAsia="Times New Roman" w:hAnsi="Arial" w:cs="Arial"/>
          <w:b/>
          <w:bCs/>
          <w:color w:val="000000"/>
          <w:sz w:val="27"/>
          <w:szCs w:val="27"/>
          <w:lang w:eastAsia="ru-RU"/>
        </w:rPr>
        <w:t>Создание предприятия и начальный этап его роста</w:t>
      </w:r>
    </w:p>
    <w:p w:rsidR="00613FDA" w:rsidRPr="00613FDA" w:rsidRDefault="00613FDA" w:rsidP="00613FDA">
      <w:pPr>
        <w:spacing w:before="300" w:after="0"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На начальном этапе многие предприятия финансируются владельцами и их родственниками. Если предприниматель начинает свою деятельность без образования юридического лица, разница между собственным капиталом и займами, полученными от владельцев или родственников, не принципиальна. Если же предприятие начинает свою деятельность как акционерная компания или впоследствии преобразуется в неё, то различия между акционерным капиталом и займами уже имеют значение.</w:t>
      </w:r>
    </w:p>
    <w:p w:rsidR="00613FDA" w:rsidRPr="00613FDA" w:rsidRDefault="00613FDA" w:rsidP="00613FDA">
      <w:pPr>
        <w:spacing w:before="400" w:after="0"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Акционерный капитал отличается относительным постоянством и даёт поставщикам и кредиторам компании определённую степень уверенности в серьёзности намерений владельцев компании и их готовности рисковать вложенными ресурсами. Если же родственники или знакомые владельцев предприятия не готовы вкладывать в него средства (или у них нет для этого возможности), владельцам придётся искать внешние источники финансирования. К основным источникам финансирования относятся:</w:t>
      </w:r>
    </w:p>
    <w:p w:rsidR="00613FDA" w:rsidRPr="00613FDA" w:rsidRDefault="00613FDA" w:rsidP="00613FDA">
      <w:pPr>
        <w:numPr>
          <w:ilvl w:val="0"/>
          <w:numId w:val="1"/>
        </w:numPr>
        <w:spacing w:before="100" w:beforeAutospacing="1" w:after="100" w:afterAutospacing="1"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банковские займы и овердрафт;</w:t>
      </w:r>
    </w:p>
    <w:p w:rsidR="00613FDA" w:rsidRPr="00613FDA" w:rsidRDefault="00613FDA" w:rsidP="00613FDA">
      <w:pPr>
        <w:numPr>
          <w:ilvl w:val="0"/>
          <w:numId w:val="1"/>
        </w:numPr>
        <w:spacing w:before="180" w:after="100" w:afterAutospacing="1"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лизинг/аренда с правом последующего выкупа;</w:t>
      </w:r>
    </w:p>
    <w:p w:rsidR="00613FDA" w:rsidRPr="00613FDA" w:rsidRDefault="00613FDA" w:rsidP="00613FDA">
      <w:pPr>
        <w:numPr>
          <w:ilvl w:val="0"/>
          <w:numId w:val="1"/>
        </w:numPr>
        <w:spacing w:before="180" w:after="100" w:afterAutospacing="1"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торговый кредит;</w:t>
      </w:r>
    </w:p>
    <w:p w:rsidR="00613FDA" w:rsidRPr="00613FDA" w:rsidRDefault="00613FDA" w:rsidP="00613FDA">
      <w:pPr>
        <w:numPr>
          <w:ilvl w:val="0"/>
          <w:numId w:val="1"/>
        </w:numPr>
        <w:spacing w:before="180" w:after="100" w:afterAutospacing="1"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государственные гранты, займы и гарантии;</w:t>
      </w:r>
    </w:p>
    <w:p w:rsidR="00613FDA" w:rsidRPr="00613FDA" w:rsidRDefault="00613FDA" w:rsidP="00613FDA">
      <w:pPr>
        <w:numPr>
          <w:ilvl w:val="0"/>
          <w:numId w:val="1"/>
        </w:numPr>
        <w:spacing w:before="180" w:after="100" w:afterAutospacing="1"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венчурный капитал и финансирование неформальными инвесторами;</w:t>
      </w:r>
    </w:p>
    <w:p w:rsidR="00613FDA" w:rsidRPr="00613FDA" w:rsidRDefault="00613FDA" w:rsidP="00613FDA">
      <w:pPr>
        <w:numPr>
          <w:ilvl w:val="0"/>
          <w:numId w:val="1"/>
        </w:numPr>
        <w:spacing w:before="180" w:after="100" w:afterAutospacing="1"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дисконтирование счетов-фактур и факторинг;</w:t>
      </w:r>
    </w:p>
    <w:p w:rsidR="00613FDA" w:rsidRPr="00613FDA" w:rsidRDefault="00613FDA" w:rsidP="00613FDA">
      <w:pPr>
        <w:numPr>
          <w:ilvl w:val="0"/>
          <w:numId w:val="1"/>
        </w:numPr>
        <w:spacing w:before="180" w:after="100" w:afterAutospacing="1"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нераспределённая прибыль.</w:t>
      </w:r>
    </w:p>
    <w:p w:rsidR="00613FDA" w:rsidRPr="00613FDA" w:rsidRDefault="00613FDA" w:rsidP="00613FDA">
      <w:pPr>
        <w:spacing w:before="600" w:after="0" w:line="240" w:lineRule="auto"/>
        <w:ind w:left="-851"/>
        <w:jc w:val="both"/>
        <w:outlineLvl w:val="2"/>
        <w:rPr>
          <w:rFonts w:ascii="Arial" w:eastAsia="Times New Roman" w:hAnsi="Arial" w:cs="Arial"/>
          <w:b/>
          <w:bCs/>
          <w:color w:val="000000"/>
          <w:sz w:val="27"/>
          <w:szCs w:val="27"/>
          <w:lang w:eastAsia="ru-RU"/>
        </w:rPr>
      </w:pPr>
      <w:r w:rsidRPr="00613FDA">
        <w:rPr>
          <w:rFonts w:ascii="Arial" w:eastAsia="Times New Roman" w:hAnsi="Arial" w:cs="Arial"/>
          <w:b/>
          <w:bCs/>
          <w:color w:val="000000"/>
          <w:sz w:val="27"/>
          <w:szCs w:val="27"/>
          <w:lang w:eastAsia="ru-RU"/>
        </w:rPr>
        <w:t>Банковские займы и овердрафт</w:t>
      </w:r>
    </w:p>
    <w:p w:rsidR="00613FDA" w:rsidRPr="00613FDA" w:rsidRDefault="00613FDA" w:rsidP="00613FDA">
      <w:pPr>
        <w:spacing w:before="300" w:after="0"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В текущих экономических условиях предприятиям-</w:t>
      </w:r>
      <w:proofErr w:type="spellStart"/>
      <w:r w:rsidRPr="00613FDA">
        <w:rPr>
          <w:rFonts w:ascii="Arial" w:eastAsia="Times New Roman" w:hAnsi="Arial" w:cs="Arial"/>
          <w:sz w:val="24"/>
          <w:szCs w:val="24"/>
          <w:lang w:eastAsia="ru-RU"/>
        </w:rPr>
        <w:t>стартапам</w:t>
      </w:r>
      <w:proofErr w:type="spellEnd"/>
      <w:r w:rsidRPr="00613FDA">
        <w:rPr>
          <w:rFonts w:ascii="Arial" w:eastAsia="Times New Roman" w:hAnsi="Arial" w:cs="Arial"/>
          <w:sz w:val="24"/>
          <w:szCs w:val="24"/>
          <w:lang w:eastAsia="ru-RU"/>
        </w:rPr>
        <w:t>, как правило, сложно получить банковский заём, особенно если у предприятия и его владельцев нет опыта ведения деятельности. Банки обязательно потребуют предоставить:</w:t>
      </w:r>
    </w:p>
    <w:p w:rsidR="00613FDA" w:rsidRPr="00613FDA" w:rsidRDefault="00613FDA" w:rsidP="00613FDA">
      <w:pPr>
        <w:numPr>
          <w:ilvl w:val="0"/>
          <w:numId w:val="2"/>
        </w:numPr>
        <w:spacing w:before="100" w:beforeAutospacing="1" w:after="100" w:afterAutospacing="1"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бизнес-план, включая прогноз движения денежных средств,</w:t>
      </w:r>
    </w:p>
    <w:p w:rsidR="00613FDA" w:rsidRPr="00613FDA" w:rsidRDefault="00613FDA" w:rsidP="00613FDA">
      <w:pPr>
        <w:numPr>
          <w:ilvl w:val="0"/>
          <w:numId w:val="2"/>
        </w:numPr>
        <w:spacing w:before="180" w:after="100" w:afterAutospacing="1"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личные гарантии и залог личного имущества.</w:t>
      </w:r>
    </w:p>
    <w:p w:rsidR="00613FDA" w:rsidRPr="00613FDA" w:rsidRDefault="00613FDA" w:rsidP="00613FDA">
      <w:pPr>
        <w:spacing w:before="400" w:after="0"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Предоставление личных гарантий и залог личного имущества компенсируют банкам ограниченную ответственность компании – в противном случае, если компания потерпит крах, банк полностью потеряет вложенные деньги. При наличии личных гарантий и залога личного имущества банк может потребовать погашения займов у поручителей или наложить взыскание на имущество, используемое в качестве залога.</w:t>
      </w:r>
    </w:p>
    <w:p w:rsidR="00613FDA" w:rsidRPr="00613FDA" w:rsidRDefault="00613FDA" w:rsidP="00613FDA">
      <w:pPr>
        <w:spacing w:before="400" w:after="0"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lastRenderedPageBreak/>
        <w:t>Следует отметить, что овердрафт подлежит погашению по требованию, и многие банки требуют возврата кредита-овердрафта заранее: не тогда, когда у предприятия действительно возникают проблемы, а когда банк ещё только начинает опасаться возникновения таких проблем.</w:t>
      </w:r>
      <w:r w:rsidRPr="00613FDA">
        <w:rPr>
          <w:rFonts w:ascii="Arial" w:eastAsia="Times New Roman" w:hAnsi="Arial" w:cs="Arial"/>
          <w:sz w:val="24"/>
          <w:szCs w:val="24"/>
          <w:lang w:eastAsia="ru-RU"/>
        </w:rPr>
        <w:br/>
      </w:r>
      <w:r w:rsidRPr="00613FDA">
        <w:rPr>
          <w:rFonts w:ascii="Arial" w:eastAsia="Times New Roman" w:hAnsi="Arial" w:cs="Arial"/>
          <w:sz w:val="24"/>
          <w:szCs w:val="24"/>
          <w:lang w:eastAsia="ru-RU"/>
        </w:rPr>
        <w:br/>
        <w:t>В то же время, если известно, что потребность во внешнем финансировании является временной, овердрафт может быть очень удобным вариантом, поскольку в этом случае заёмщик может погасить задолженность в любой момент.</w:t>
      </w:r>
    </w:p>
    <w:p w:rsidR="00613FDA" w:rsidRPr="00613FDA" w:rsidRDefault="00613FDA" w:rsidP="00613FDA">
      <w:pPr>
        <w:spacing w:before="600" w:after="0" w:line="240" w:lineRule="auto"/>
        <w:ind w:left="-851"/>
        <w:jc w:val="both"/>
        <w:outlineLvl w:val="2"/>
        <w:rPr>
          <w:rFonts w:ascii="Arial" w:eastAsia="Times New Roman" w:hAnsi="Arial" w:cs="Arial"/>
          <w:b/>
          <w:bCs/>
          <w:color w:val="000000"/>
          <w:sz w:val="27"/>
          <w:szCs w:val="27"/>
          <w:lang w:eastAsia="ru-RU"/>
        </w:rPr>
      </w:pPr>
      <w:r w:rsidRPr="00613FDA">
        <w:rPr>
          <w:rFonts w:ascii="Arial" w:eastAsia="Times New Roman" w:hAnsi="Arial" w:cs="Arial"/>
          <w:b/>
          <w:bCs/>
          <w:color w:val="000000"/>
          <w:sz w:val="27"/>
          <w:szCs w:val="27"/>
          <w:lang w:eastAsia="ru-RU"/>
        </w:rPr>
        <w:t>Лизинг и аренда с правом последующего выкупа</w:t>
      </w:r>
    </w:p>
    <w:p w:rsidR="00613FDA" w:rsidRPr="00613FDA" w:rsidRDefault="00613FDA" w:rsidP="00613FDA">
      <w:pPr>
        <w:spacing w:before="300" w:after="0"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С финансовой точки зрения лизинг во многом аналогичен банковскому займу. Разница заключается в том, что в случае с займом предприятие получает денежные средства и самостоятельно приобретает актив, а потом погашает задолженность перед банком; в то время как в случае лизинга актив приобретает лизинговая компания, которая затем сдает его предприятию-арендатору в аренду, взимая за пользование активом ежемесячную плату.</w:t>
      </w:r>
    </w:p>
    <w:p w:rsidR="00613FDA" w:rsidRPr="00613FDA" w:rsidRDefault="00613FDA" w:rsidP="00613FDA">
      <w:pPr>
        <w:spacing w:before="400" w:after="0"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Лизинг зачастую сопряжен с меньшими расходами, чем привлечение займов, поскольку:</w:t>
      </w:r>
    </w:p>
    <w:p w:rsidR="00613FDA" w:rsidRPr="00613FDA" w:rsidRDefault="00613FDA" w:rsidP="00613FDA">
      <w:pPr>
        <w:numPr>
          <w:ilvl w:val="0"/>
          <w:numId w:val="3"/>
        </w:numPr>
        <w:spacing w:before="100" w:beforeAutospacing="1" w:after="100" w:afterAutospacing="1"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•Крупные лизинговые компании имеют возможность отстаивать свои условия в ходе переговоров с продавцами активов, поэтому они часто приобретают активы по более низкой цене, чем мог бы выторговать арендатор. Эта экономия может быть частично передана арендатору, сокращая его расходы.</w:t>
      </w:r>
    </w:p>
    <w:p w:rsidR="00613FDA" w:rsidRPr="00613FDA" w:rsidRDefault="00613FDA" w:rsidP="00613FDA">
      <w:pPr>
        <w:numPr>
          <w:ilvl w:val="0"/>
          <w:numId w:val="3"/>
        </w:numPr>
        <w:spacing w:before="180" w:after="100" w:afterAutospacing="1"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Лизинговые компании могут иметь возможность выгодно продавать отслужившие свой срок активы, в то время как у арендаторов нередко таких устоявшихся каналов выбытия нет.</w:t>
      </w:r>
    </w:p>
    <w:p w:rsidR="00613FDA" w:rsidRPr="00613FDA" w:rsidRDefault="00613FDA" w:rsidP="00613FDA">
      <w:pPr>
        <w:numPr>
          <w:ilvl w:val="0"/>
          <w:numId w:val="3"/>
        </w:numPr>
        <w:spacing w:before="180" w:after="100" w:afterAutospacing="1"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В распоряжении лизинговых компаний есть встроенный механизм обеспечения, поскольку в случае неполучения лизинговых платежей они могут потребовать возврата актива.</w:t>
      </w:r>
    </w:p>
    <w:p w:rsidR="00613FDA" w:rsidRPr="00613FDA" w:rsidRDefault="00613FDA" w:rsidP="00613FDA">
      <w:pPr>
        <w:numPr>
          <w:ilvl w:val="0"/>
          <w:numId w:val="3"/>
        </w:numPr>
        <w:spacing w:before="180" w:after="100" w:afterAutospacing="1"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Для крупной, зарекомендовавшей себя лизинговой компании стоимость финансирования, как правило, ниже, чем для компании-</w:t>
      </w:r>
      <w:proofErr w:type="spellStart"/>
      <w:r w:rsidRPr="00613FDA">
        <w:rPr>
          <w:rFonts w:ascii="Arial" w:eastAsia="Times New Roman" w:hAnsi="Arial" w:cs="Arial"/>
          <w:sz w:val="24"/>
          <w:szCs w:val="24"/>
          <w:lang w:eastAsia="ru-RU"/>
        </w:rPr>
        <w:t>стартапа</w:t>
      </w:r>
      <w:proofErr w:type="spellEnd"/>
      <w:r w:rsidRPr="00613FDA">
        <w:rPr>
          <w:rFonts w:ascii="Arial" w:eastAsia="Times New Roman" w:hAnsi="Arial" w:cs="Arial"/>
          <w:sz w:val="24"/>
          <w:szCs w:val="24"/>
          <w:lang w:eastAsia="ru-RU"/>
        </w:rPr>
        <w:t>.</w:t>
      </w:r>
    </w:p>
    <w:p w:rsidR="00613FDA" w:rsidRPr="00613FDA" w:rsidRDefault="00613FDA" w:rsidP="00613FDA">
      <w:pPr>
        <w:spacing w:before="400" w:after="0"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Для предприятия важно определить, какой из вариантов будет менее дорогостоящим: привлечение заёмного финансирования или аренда. (Это отдельная тема, входящая в программу курса «Финансовый менеджмент»; но в настоящей статье она не рассматривается.)</w:t>
      </w:r>
    </w:p>
    <w:p w:rsidR="00613FDA" w:rsidRPr="00613FDA" w:rsidRDefault="00613FDA" w:rsidP="00613FDA">
      <w:pPr>
        <w:spacing w:before="600" w:after="0" w:line="240" w:lineRule="auto"/>
        <w:ind w:left="-851"/>
        <w:jc w:val="both"/>
        <w:outlineLvl w:val="2"/>
        <w:rPr>
          <w:rFonts w:ascii="Arial" w:eastAsia="Times New Roman" w:hAnsi="Arial" w:cs="Arial"/>
          <w:b/>
          <w:bCs/>
          <w:color w:val="000000"/>
          <w:sz w:val="27"/>
          <w:szCs w:val="27"/>
          <w:lang w:eastAsia="ru-RU"/>
        </w:rPr>
      </w:pPr>
      <w:r w:rsidRPr="00613FDA">
        <w:rPr>
          <w:rFonts w:ascii="Arial" w:eastAsia="Times New Roman" w:hAnsi="Arial" w:cs="Arial"/>
          <w:b/>
          <w:bCs/>
          <w:color w:val="000000"/>
          <w:sz w:val="27"/>
          <w:szCs w:val="27"/>
          <w:lang w:eastAsia="ru-RU"/>
        </w:rPr>
        <w:t>Торговый кредит</w:t>
      </w:r>
    </w:p>
    <w:p w:rsidR="00613FDA" w:rsidRPr="00613FDA" w:rsidRDefault="00613FDA" w:rsidP="00613FDA">
      <w:pPr>
        <w:spacing w:before="300" w:after="0"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 xml:space="preserve">Торговый (или коммерческий) кредит – это кредит, предоставляемый поставщиками, как правило, на срок порядка 30 дней. Очевидно, что это очень короткий срок, однако торговые кредиты могут очень помочь новым компаниям. Как правило, кредиторы- поставщики требуют от новых компаний предоставления рекомендаций от банка или справки о кредитоспособности от других поставщиков. Однако в некоторых случаях они </w:t>
      </w:r>
      <w:r w:rsidRPr="00613FDA">
        <w:rPr>
          <w:rFonts w:ascii="Arial" w:eastAsia="Times New Roman" w:hAnsi="Arial" w:cs="Arial"/>
          <w:sz w:val="24"/>
          <w:szCs w:val="24"/>
          <w:lang w:eastAsia="ru-RU"/>
        </w:rPr>
        <w:lastRenderedPageBreak/>
        <w:t>готовы на начальном этапе предоставить кредит на небольшую сумму и без рекомендаций, увеличивая сумму кредита впоследствии по мере роста доверия.</w:t>
      </w:r>
    </w:p>
    <w:p w:rsidR="00613FDA" w:rsidRPr="00613FDA" w:rsidRDefault="00613FDA" w:rsidP="00613FDA">
      <w:pPr>
        <w:spacing w:before="600" w:after="0" w:line="240" w:lineRule="auto"/>
        <w:ind w:left="-851"/>
        <w:jc w:val="both"/>
        <w:outlineLvl w:val="2"/>
        <w:rPr>
          <w:rFonts w:ascii="Arial" w:eastAsia="Times New Roman" w:hAnsi="Arial" w:cs="Arial"/>
          <w:b/>
          <w:bCs/>
          <w:color w:val="000000"/>
          <w:sz w:val="27"/>
          <w:szCs w:val="27"/>
          <w:lang w:eastAsia="ru-RU"/>
        </w:rPr>
      </w:pPr>
      <w:r w:rsidRPr="00613FDA">
        <w:rPr>
          <w:rFonts w:ascii="Arial" w:eastAsia="Times New Roman" w:hAnsi="Arial" w:cs="Arial"/>
          <w:b/>
          <w:bCs/>
          <w:color w:val="000000"/>
          <w:sz w:val="27"/>
          <w:szCs w:val="27"/>
          <w:lang w:eastAsia="ru-RU"/>
        </w:rPr>
        <w:t>Государственные гранты, займы и гарантии</w:t>
      </w:r>
    </w:p>
    <w:p w:rsidR="00613FDA" w:rsidRPr="00613FDA" w:rsidRDefault="00613FDA" w:rsidP="00613FDA">
      <w:pPr>
        <w:spacing w:before="300" w:after="0"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Государство нередко стимулирует развитие нового бизнеса и в некоторых регионах периодически предоставляет соответствующую поддержку. Однако суммы государственных грантов, как правило, весьма невелики, а прямые займы предоставляются редко, поскольку государство считает, что выдачей кредитов должны заниматься финансовые институты.</w:t>
      </w:r>
    </w:p>
    <w:p w:rsidR="00613FDA" w:rsidRPr="00613FDA" w:rsidRDefault="00613FDA" w:rsidP="00613FDA">
      <w:pPr>
        <w:spacing w:before="400" w:after="0"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В настоящее время правительство Великобритании реализует программу предоставления предприятиям финансовых гарантий (</w:t>
      </w:r>
      <w:proofErr w:type="spellStart"/>
      <w:r w:rsidRPr="00613FDA">
        <w:rPr>
          <w:rFonts w:ascii="Arial" w:eastAsia="Times New Roman" w:hAnsi="Arial" w:cs="Arial"/>
          <w:sz w:val="24"/>
          <w:szCs w:val="24"/>
          <w:lang w:eastAsia="ru-RU"/>
        </w:rPr>
        <w:t>Enterprise</w:t>
      </w:r>
      <w:proofErr w:type="spellEnd"/>
      <w:r w:rsidRPr="00613FDA">
        <w:rPr>
          <w:rFonts w:ascii="Arial" w:eastAsia="Times New Roman" w:hAnsi="Arial" w:cs="Arial"/>
          <w:sz w:val="24"/>
          <w:szCs w:val="24"/>
          <w:lang w:eastAsia="ru-RU"/>
        </w:rPr>
        <w:t xml:space="preserve"> </w:t>
      </w:r>
      <w:proofErr w:type="spellStart"/>
      <w:r w:rsidRPr="00613FDA">
        <w:rPr>
          <w:rFonts w:ascii="Arial" w:eastAsia="Times New Roman" w:hAnsi="Arial" w:cs="Arial"/>
          <w:sz w:val="24"/>
          <w:szCs w:val="24"/>
          <w:lang w:eastAsia="ru-RU"/>
        </w:rPr>
        <w:t>Finance</w:t>
      </w:r>
      <w:proofErr w:type="spellEnd"/>
      <w:r w:rsidRPr="00613FDA">
        <w:rPr>
          <w:rFonts w:ascii="Arial" w:eastAsia="Times New Roman" w:hAnsi="Arial" w:cs="Arial"/>
          <w:sz w:val="24"/>
          <w:szCs w:val="24"/>
          <w:lang w:eastAsia="ru-RU"/>
        </w:rPr>
        <w:t xml:space="preserve"> </w:t>
      </w:r>
      <w:proofErr w:type="spellStart"/>
      <w:r w:rsidRPr="00613FDA">
        <w:rPr>
          <w:rFonts w:ascii="Arial" w:eastAsia="Times New Roman" w:hAnsi="Arial" w:cs="Arial"/>
          <w:sz w:val="24"/>
          <w:szCs w:val="24"/>
          <w:lang w:eastAsia="ru-RU"/>
        </w:rPr>
        <w:t>Guarantee</w:t>
      </w:r>
      <w:proofErr w:type="spellEnd"/>
      <w:r w:rsidRPr="00613FDA">
        <w:rPr>
          <w:rFonts w:ascii="Arial" w:eastAsia="Times New Roman" w:hAnsi="Arial" w:cs="Arial"/>
          <w:sz w:val="24"/>
          <w:szCs w:val="24"/>
          <w:lang w:eastAsia="ru-RU"/>
        </w:rPr>
        <w:t xml:space="preserve"> </w:t>
      </w:r>
      <w:proofErr w:type="spellStart"/>
      <w:r w:rsidRPr="00613FDA">
        <w:rPr>
          <w:rFonts w:ascii="Arial" w:eastAsia="Times New Roman" w:hAnsi="Arial" w:cs="Arial"/>
          <w:sz w:val="24"/>
          <w:szCs w:val="24"/>
          <w:lang w:eastAsia="ru-RU"/>
        </w:rPr>
        <w:t>Scheme</w:t>
      </w:r>
      <w:proofErr w:type="spellEnd"/>
      <w:r w:rsidRPr="00613FDA">
        <w:rPr>
          <w:rFonts w:ascii="Arial" w:eastAsia="Times New Roman" w:hAnsi="Arial" w:cs="Arial"/>
          <w:sz w:val="24"/>
          <w:szCs w:val="24"/>
          <w:lang w:eastAsia="ru-RU"/>
        </w:rPr>
        <w:t>, EFGS). Эта программа гарантий по займам призвана стимулировать банковское кредитование рентабельных предприятий малого и среднего бизнеса (МСБ), не имеющих возможности предоставить достаточное обеспечение для получения обычных банковских займов. Заёмщик должен предоставить кредитору доказательства своей способности полностью погасить кредит. В свою очередь, правительство предоставляет кредитору гарантию, за которую заёмщик уплачивает премию.</w:t>
      </w:r>
    </w:p>
    <w:p w:rsidR="00613FDA" w:rsidRPr="00613FDA" w:rsidRDefault="00613FDA" w:rsidP="00613FDA">
      <w:pPr>
        <w:spacing w:before="400" w:after="0"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Следует подчеркнуть, что эта программа не предусматривает для предприятий или их владельцев возможность отказаться от предоставления обеспечения, которое обычно требуется для получения кредита; она также не предусматривает кредитования нерентабельных предприятий, которым банки на этом основании отказали в выдаче кредита.</w:t>
      </w:r>
    </w:p>
    <w:p w:rsidR="00613FDA" w:rsidRPr="00613FDA" w:rsidRDefault="00613FDA" w:rsidP="00613FDA">
      <w:pPr>
        <w:spacing w:before="400" w:after="0"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Программа EFGS поддерживает предоставление кредитов в размере от £1,000 до £1 млн рентабельным предприятиям с годовым оборотом до £25 млн.</w:t>
      </w:r>
    </w:p>
    <w:p w:rsidR="00613FDA" w:rsidRPr="00613FDA" w:rsidRDefault="00613FDA" w:rsidP="00613FDA">
      <w:pPr>
        <w:spacing w:before="600" w:after="0" w:line="240" w:lineRule="auto"/>
        <w:ind w:left="-851"/>
        <w:jc w:val="both"/>
        <w:outlineLvl w:val="2"/>
        <w:rPr>
          <w:rFonts w:ascii="Arial" w:eastAsia="Times New Roman" w:hAnsi="Arial" w:cs="Arial"/>
          <w:b/>
          <w:bCs/>
          <w:color w:val="000000"/>
          <w:sz w:val="27"/>
          <w:szCs w:val="27"/>
          <w:lang w:eastAsia="ru-RU"/>
        </w:rPr>
      </w:pPr>
      <w:r w:rsidRPr="00613FDA">
        <w:rPr>
          <w:rFonts w:ascii="Arial" w:eastAsia="Times New Roman" w:hAnsi="Arial" w:cs="Arial"/>
          <w:b/>
          <w:bCs/>
          <w:color w:val="000000"/>
          <w:sz w:val="27"/>
          <w:szCs w:val="27"/>
          <w:lang w:eastAsia="ru-RU"/>
        </w:rPr>
        <w:t>Венчурный капитал и финансирование неформальными инвесторами</w:t>
      </w:r>
    </w:p>
    <w:p w:rsidR="00613FDA" w:rsidRPr="00613FDA" w:rsidRDefault="00613FDA" w:rsidP="00613FDA">
      <w:pPr>
        <w:spacing w:before="300" w:after="0"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В рамках этого варианта финансирование предоставляется венчурными компаниями или состоятельными частными инвесторами (так называемыми «бизнес-ангелами»), готовыми вкладывать средства в новые или недавно созданные предприятия. Они предоставляют не займы, а долевое финансирование (в форме частного капитала в противоположность публичному акционерному капиталу компаний, котирующихся на фондовой бирже). При этом обеспечение в форме залога имущества, как правило, не предоставляется, и частная инвестиционная фирма несёт риск убытков ровно в той же мере, в какой несут риск и остальные акционеры.</w:t>
      </w:r>
    </w:p>
    <w:p w:rsidR="00613FDA" w:rsidRPr="00613FDA" w:rsidRDefault="00613FDA" w:rsidP="00613FDA">
      <w:pPr>
        <w:spacing w:before="400" w:after="0"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 xml:space="preserve">Учитывая высокий уровень риска, связанный с вложением средств в капитал </w:t>
      </w:r>
      <w:proofErr w:type="spellStart"/>
      <w:r w:rsidRPr="00613FDA">
        <w:rPr>
          <w:rFonts w:ascii="Arial" w:eastAsia="Times New Roman" w:hAnsi="Arial" w:cs="Arial"/>
          <w:sz w:val="24"/>
          <w:szCs w:val="24"/>
          <w:lang w:eastAsia="ru-RU"/>
        </w:rPr>
        <w:t>стартапов</w:t>
      </w:r>
      <w:proofErr w:type="spellEnd"/>
      <w:r w:rsidRPr="00613FDA">
        <w:rPr>
          <w:rFonts w:ascii="Arial" w:eastAsia="Times New Roman" w:hAnsi="Arial" w:cs="Arial"/>
          <w:sz w:val="24"/>
          <w:szCs w:val="24"/>
          <w:lang w:eastAsia="ru-RU"/>
        </w:rPr>
        <w:t>, инвесторы, предоставляющие частный капитал, как правило, стремятся к тому, чтобы доходность их вложений составляла не менее 30% годовых. Общая сумма их дохода включает в себя погашение капитала (например, погашение привилегированных акций с премией), возможный прирост капитала на момент выхода из инвестиций (например, продажи акций частному покупателю или в результате регистрации компании на фондовой бирже), а также доход в форме оплаты их услуг и/или дивидендов.</w:t>
      </w:r>
    </w:p>
    <w:p w:rsidR="00613FDA" w:rsidRPr="00613FDA" w:rsidRDefault="00613FDA" w:rsidP="00613FDA">
      <w:pPr>
        <w:spacing w:before="400" w:after="0"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lastRenderedPageBreak/>
        <w:t>Как правило, в качестве условия для предоставления финансирования венчурные инвесторы требуют долю в акционерном капитале в размере 25–49% и членство в совете директоров, чтобы иметь возможность влиять на объект своих инвестиций и давать рекомендации. В то же время они не стремятся контролировать объект своих инвестиций.</w:t>
      </w:r>
    </w:p>
    <w:p w:rsidR="00613FDA" w:rsidRPr="00613FDA" w:rsidRDefault="00613FDA" w:rsidP="00613FDA">
      <w:pPr>
        <w:spacing w:before="600" w:after="0" w:line="240" w:lineRule="auto"/>
        <w:ind w:left="-851"/>
        <w:jc w:val="both"/>
        <w:outlineLvl w:val="2"/>
        <w:rPr>
          <w:rFonts w:ascii="Arial" w:eastAsia="Times New Roman" w:hAnsi="Arial" w:cs="Arial"/>
          <w:b/>
          <w:bCs/>
          <w:color w:val="000000"/>
          <w:sz w:val="27"/>
          <w:szCs w:val="27"/>
          <w:lang w:eastAsia="ru-RU"/>
        </w:rPr>
      </w:pPr>
      <w:r w:rsidRPr="00613FDA">
        <w:rPr>
          <w:rFonts w:ascii="Arial" w:eastAsia="Times New Roman" w:hAnsi="Arial" w:cs="Arial"/>
          <w:b/>
          <w:bCs/>
          <w:color w:val="000000"/>
          <w:sz w:val="27"/>
          <w:szCs w:val="27"/>
          <w:lang w:eastAsia="ru-RU"/>
        </w:rPr>
        <w:t>Дисконтирование счетов-фактур и факторинг</w:t>
      </w:r>
    </w:p>
    <w:p w:rsidR="00613FDA" w:rsidRPr="00613FDA" w:rsidRDefault="00613FDA" w:rsidP="00613FDA">
      <w:pPr>
        <w:spacing w:before="300" w:after="0"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 xml:space="preserve">Эти методы обычно используются в тех случаях, когда оборот предприятия составляет не менее $200,000. Сам процесс финансирования выглядит так: в течение 24 часов с момента подачи заявки </w:t>
      </w:r>
      <w:proofErr w:type="spellStart"/>
      <w:r w:rsidRPr="00613FDA">
        <w:rPr>
          <w:rFonts w:ascii="Arial" w:eastAsia="Times New Roman" w:hAnsi="Arial" w:cs="Arial"/>
          <w:sz w:val="24"/>
          <w:szCs w:val="24"/>
          <w:lang w:eastAsia="ru-RU"/>
        </w:rPr>
        <w:t>факторинговая</w:t>
      </w:r>
      <w:proofErr w:type="spellEnd"/>
      <w:r w:rsidRPr="00613FDA">
        <w:rPr>
          <w:rFonts w:ascii="Arial" w:eastAsia="Times New Roman" w:hAnsi="Arial" w:cs="Arial"/>
          <w:sz w:val="24"/>
          <w:szCs w:val="24"/>
          <w:lang w:eastAsia="ru-RU"/>
        </w:rPr>
        <w:t xml:space="preserve"> компания перечисляет предприятию порядка 80% суммы его дебиторской задолженности (или суммы отдельных счетов- фактур). На сумму перечисленных денежных средств </w:t>
      </w:r>
      <w:proofErr w:type="spellStart"/>
      <w:r w:rsidRPr="00613FDA">
        <w:rPr>
          <w:rFonts w:ascii="Arial" w:eastAsia="Times New Roman" w:hAnsi="Arial" w:cs="Arial"/>
          <w:sz w:val="24"/>
          <w:szCs w:val="24"/>
          <w:lang w:eastAsia="ru-RU"/>
        </w:rPr>
        <w:t>факторинговая</w:t>
      </w:r>
      <w:proofErr w:type="spellEnd"/>
      <w:r w:rsidRPr="00613FDA">
        <w:rPr>
          <w:rFonts w:ascii="Arial" w:eastAsia="Times New Roman" w:hAnsi="Arial" w:cs="Arial"/>
          <w:sz w:val="24"/>
          <w:szCs w:val="24"/>
          <w:lang w:eastAsia="ru-RU"/>
        </w:rPr>
        <w:t xml:space="preserve"> компания начисляет комиссию (по ставке, примерно равной процентной ставке по овердрафту). За дополнительную комиссию может быть оформлено страхование дебиторской задолженности на случай, если она окажется безнадёжной. Если такого страхования нет, то риск безнадёжных долгов несёт не </w:t>
      </w:r>
      <w:proofErr w:type="spellStart"/>
      <w:r w:rsidRPr="00613FDA">
        <w:rPr>
          <w:rFonts w:ascii="Arial" w:eastAsia="Times New Roman" w:hAnsi="Arial" w:cs="Arial"/>
          <w:sz w:val="24"/>
          <w:szCs w:val="24"/>
          <w:lang w:eastAsia="ru-RU"/>
        </w:rPr>
        <w:t>факторинговая</w:t>
      </w:r>
      <w:proofErr w:type="spellEnd"/>
      <w:r w:rsidRPr="00613FDA">
        <w:rPr>
          <w:rFonts w:ascii="Arial" w:eastAsia="Times New Roman" w:hAnsi="Arial" w:cs="Arial"/>
          <w:sz w:val="24"/>
          <w:szCs w:val="24"/>
          <w:lang w:eastAsia="ru-RU"/>
        </w:rPr>
        <w:t xml:space="preserve"> компания, а само предприятие, выставившее счёт-фактуру.</w:t>
      </w:r>
    </w:p>
    <w:p w:rsidR="00613FDA" w:rsidRPr="00613FDA" w:rsidRDefault="00613FDA" w:rsidP="00613FDA">
      <w:pPr>
        <w:spacing w:before="400" w:after="0"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 xml:space="preserve">Помимо оказания услуги финансирования, </w:t>
      </w:r>
      <w:proofErr w:type="spellStart"/>
      <w:r w:rsidRPr="00613FDA">
        <w:rPr>
          <w:rFonts w:ascii="Arial" w:eastAsia="Times New Roman" w:hAnsi="Arial" w:cs="Arial"/>
          <w:sz w:val="24"/>
          <w:szCs w:val="24"/>
          <w:lang w:eastAsia="ru-RU"/>
        </w:rPr>
        <w:t>факторинговые</w:t>
      </w:r>
      <w:proofErr w:type="spellEnd"/>
      <w:r w:rsidRPr="00613FDA">
        <w:rPr>
          <w:rFonts w:ascii="Arial" w:eastAsia="Times New Roman" w:hAnsi="Arial" w:cs="Arial"/>
          <w:sz w:val="24"/>
          <w:szCs w:val="24"/>
          <w:lang w:eastAsia="ru-RU"/>
        </w:rPr>
        <w:t xml:space="preserve"> компании также ведут реестр дебиторской задолженности компании. За ведение такого реестра дебиторской задолженности </w:t>
      </w:r>
      <w:proofErr w:type="spellStart"/>
      <w:r w:rsidRPr="00613FDA">
        <w:rPr>
          <w:rFonts w:ascii="Arial" w:eastAsia="Times New Roman" w:hAnsi="Arial" w:cs="Arial"/>
          <w:sz w:val="24"/>
          <w:szCs w:val="24"/>
          <w:lang w:eastAsia="ru-RU"/>
        </w:rPr>
        <w:t>факторинговая</w:t>
      </w:r>
      <w:proofErr w:type="spellEnd"/>
      <w:r w:rsidRPr="00613FDA">
        <w:rPr>
          <w:rFonts w:ascii="Arial" w:eastAsia="Times New Roman" w:hAnsi="Arial" w:cs="Arial"/>
          <w:sz w:val="24"/>
          <w:szCs w:val="24"/>
          <w:lang w:eastAsia="ru-RU"/>
        </w:rPr>
        <w:t xml:space="preserve"> компания взимает комиссию в размере около 1% оборота (конкретная сумма зависит от количества счетов-фактур и клиентов).</w:t>
      </w:r>
    </w:p>
    <w:p w:rsidR="00613FDA" w:rsidRPr="00613FDA" w:rsidRDefault="00613FDA" w:rsidP="00613FDA">
      <w:pPr>
        <w:spacing w:before="600" w:after="0" w:line="240" w:lineRule="auto"/>
        <w:ind w:left="-851"/>
        <w:jc w:val="both"/>
        <w:outlineLvl w:val="2"/>
        <w:rPr>
          <w:rFonts w:ascii="Arial" w:eastAsia="Times New Roman" w:hAnsi="Arial" w:cs="Arial"/>
          <w:b/>
          <w:bCs/>
          <w:color w:val="000000"/>
          <w:sz w:val="27"/>
          <w:szCs w:val="27"/>
          <w:lang w:eastAsia="ru-RU"/>
        </w:rPr>
      </w:pPr>
      <w:r w:rsidRPr="00613FDA">
        <w:rPr>
          <w:rFonts w:ascii="Arial" w:eastAsia="Times New Roman" w:hAnsi="Arial" w:cs="Arial"/>
          <w:b/>
          <w:bCs/>
          <w:color w:val="000000"/>
          <w:sz w:val="27"/>
          <w:szCs w:val="27"/>
          <w:lang w:eastAsia="ru-RU"/>
        </w:rPr>
        <w:t>Нераспределённая прибыль</w:t>
      </w:r>
    </w:p>
    <w:p w:rsidR="00613FDA" w:rsidRPr="00613FDA" w:rsidRDefault="00613FDA" w:rsidP="00613FDA">
      <w:pPr>
        <w:spacing w:before="300" w:after="0"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 xml:space="preserve">Этот вариант не подходит для </w:t>
      </w:r>
      <w:proofErr w:type="spellStart"/>
      <w:r w:rsidRPr="00613FDA">
        <w:rPr>
          <w:rFonts w:ascii="Arial" w:eastAsia="Times New Roman" w:hAnsi="Arial" w:cs="Arial"/>
          <w:sz w:val="24"/>
          <w:szCs w:val="24"/>
          <w:lang w:eastAsia="ru-RU"/>
        </w:rPr>
        <w:t>стартапов</w:t>
      </w:r>
      <w:proofErr w:type="spellEnd"/>
      <w:r w:rsidRPr="00613FDA">
        <w:rPr>
          <w:rFonts w:ascii="Arial" w:eastAsia="Times New Roman" w:hAnsi="Arial" w:cs="Arial"/>
          <w:sz w:val="24"/>
          <w:szCs w:val="24"/>
          <w:lang w:eastAsia="ru-RU"/>
        </w:rPr>
        <w:t>, а зачастую также и для первых нескольких лет деятельности предприятия, когда оно несёт убытки или получает лишь незначительную прибыль. Однако успешное предприятие рано или поздно добьётся прибыльности, и, если эту прибыль не распределять на дивиденды, предприятие получит средства для погашения займов и инвестирования в расширение бизнеса.</w:t>
      </w:r>
    </w:p>
    <w:p w:rsidR="00613FDA" w:rsidRPr="00613FDA" w:rsidRDefault="00613FDA" w:rsidP="00613FDA">
      <w:pPr>
        <w:spacing w:before="600" w:after="0" w:line="240" w:lineRule="auto"/>
        <w:ind w:left="-851"/>
        <w:jc w:val="both"/>
        <w:outlineLvl w:val="2"/>
        <w:rPr>
          <w:rFonts w:ascii="Arial" w:eastAsia="Times New Roman" w:hAnsi="Arial" w:cs="Arial"/>
          <w:b/>
          <w:bCs/>
          <w:color w:val="000000"/>
          <w:sz w:val="27"/>
          <w:szCs w:val="27"/>
          <w:lang w:eastAsia="ru-RU"/>
        </w:rPr>
      </w:pPr>
      <w:r w:rsidRPr="00613FDA">
        <w:rPr>
          <w:rFonts w:ascii="Arial" w:eastAsia="Times New Roman" w:hAnsi="Arial" w:cs="Arial"/>
          <w:b/>
          <w:bCs/>
          <w:color w:val="000000"/>
          <w:sz w:val="27"/>
          <w:szCs w:val="27"/>
          <w:lang w:eastAsia="ru-RU"/>
        </w:rPr>
        <w:t>Сколько капитала нужно предприятию?</w:t>
      </w:r>
    </w:p>
    <w:p w:rsidR="00613FDA" w:rsidRPr="00613FDA" w:rsidRDefault="00613FDA" w:rsidP="00613FDA">
      <w:pPr>
        <w:spacing w:before="300" w:after="0"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Капитал необходим для самых разных целей:</w:t>
      </w:r>
    </w:p>
    <w:p w:rsidR="00613FDA" w:rsidRPr="00613FDA" w:rsidRDefault="00613FDA" w:rsidP="00613FDA">
      <w:pPr>
        <w:numPr>
          <w:ilvl w:val="0"/>
          <w:numId w:val="4"/>
        </w:numPr>
        <w:spacing w:before="100" w:beforeAutospacing="1" w:after="100" w:afterAutospacing="1"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 xml:space="preserve">для осуществления инвестиций во </w:t>
      </w:r>
      <w:proofErr w:type="spellStart"/>
      <w:r w:rsidRPr="00613FDA">
        <w:rPr>
          <w:rFonts w:ascii="Arial" w:eastAsia="Times New Roman" w:hAnsi="Arial" w:cs="Arial"/>
          <w:sz w:val="24"/>
          <w:szCs w:val="24"/>
          <w:lang w:eastAsia="ru-RU"/>
        </w:rPr>
        <w:t>внеоборотные</w:t>
      </w:r>
      <w:proofErr w:type="spellEnd"/>
      <w:r w:rsidRPr="00613FDA">
        <w:rPr>
          <w:rFonts w:ascii="Arial" w:eastAsia="Times New Roman" w:hAnsi="Arial" w:cs="Arial"/>
          <w:sz w:val="24"/>
          <w:szCs w:val="24"/>
          <w:lang w:eastAsia="ru-RU"/>
        </w:rPr>
        <w:t xml:space="preserve"> активы;</w:t>
      </w:r>
    </w:p>
    <w:p w:rsidR="00613FDA" w:rsidRPr="00613FDA" w:rsidRDefault="00613FDA" w:rsidP="00613FDA">
      <w:pPr>
        <w:numPr>
          <w:ilvl w:val="0"/>
          <w:numId w:val="4"/>
        </w:numPr>
        <w:spacing w:before="180" w:after="100" w:afterAutospacing="1"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для поддержания деятельности компании на начальном этапе, когда она несёт убытки;</w:t>
      </w:r>
    </w:p>
    <w:p w:rsidR="00613FDA" w:rsidRPr="00613FDA" w:rsidRDefault="00613FDA" w:rsidP="00613FDA">
      <w:pPr>
        <w:numPr>
          <w:ilvl w:val="0"/>
          <w:numId w:val="4"/>
        </w:numPr>
        <w:spacing w:before="180" w:after="100" w:afterAutospacing="1"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для осуществления инвестиций в оборотные активы.</w:t>
      </w:r>
    </w:p>
    <w:p w:rsidR="00613FDA" w:rsidRPr="00613FDA" w:rsidRDefault="00613FDA" w:rsidP="00613FDA">
      <w:pPr>
        <w:spacing w:before="400" w:after="0"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 xml:space="preserve">Спланировать необходимый объём капитала позволяет такой инструмент, как прогноз движения денежных средств. Как правило, организации, предоставляющие капитал, запрашивают прогнозы на срок от трёх до пяти лет. Для новых успешных предприятий большую опасность представляет превышение разумных пределов хозяйственной деятельности: попытка достичь слишком многого с недостаточным количеством капитала. Такая ситуация возникает потому, что, хотя руководители большинства </w:t>
      </w:r>
      <w:r w:rsidRPr="00613FDA">
        <w:rPr>
          <w:rFonts w:ascii="Arial" w:eastAsia="Times New Roman" w:hAnsi="Arial" w:cs="Arial"/>
          <w:sz w:val="24"/>
          <w:szCs w:val="24"/>
          <w:lang w:eastAsia="ru-RU"/>
        </w:rPr>
        <w:lastRenderedPageBreak/>
        <w:t xml:space="preserve">предприятий знают о необходимости капитала для финансирования </w:t>
      </w:r>
      <w:proofErr w:type="spellStart"/>
      <w:r w:rsidRPr="00613FDA">
        <w:rPr>
          <w:rFonts w:ascii="Arial" w:eastAsia="Times New Roman" w:hAnsi="Arial" w:cs="Arial"/>
          <w:sz w:val="24"/>
          <w:szCs w:val="24"/>
          <w:lang w:eastAsia="ru-RU"/>
        </w:rPr>
        <w:t>внеоборотных</w:t>
      </w:r>
      <w:proofErr w:type="spellEnd"/>
      <w:r w:rsidRPr="00613FDA">
        <w:rPr>
          <w:rFonts w:ascii="Arial" w:eastAsia="Times New Roman" w:hAnsi="Arial" w:cs="Arial"/>
          <w:sz w:val="24"/>
          <w:szCs w:val="24"/>
          <w:lang w:eastAsia="ru-RU"/>
        </w:rPr>
        <w:t xml:space="preserve"> активов, многие из них недооценивают важность финансирования оборотных активов.</w:t>
      </w:r>
    </w:p>
    <w:p w:rsidR="00613FDA" w:rsidRPr="00613FDA" w:rsidRDefault="00613FDA" w:rsidP="00613FDA">
      <w:pPr>
        <w:spacing w:before="400" w:after="0"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Рассмотрим следующий пример:</w:t>
      </w:r>
    </w:p>
    <w:p w:rsidR="00613FDA" w:rsidRPr="00613FDA" w:rsidRDefault="00613FDA" w:rsidP="00613FDA">
      <w:pPr>
        <w:spacing w:after="0" w:line="240" w:lineRule="auto"/>
        <w:ind w:left="-851"/>
        <w:jc w:val="both"/>
        <w:rPr>
          <w:rFonts w:ascii="Arial" w:eastAsia="Times New Roman" w:hAnsi="Arial" w:cs="Arial"/>
          <w:sz w:val="24"/>
          <w:szCs w:val="24"/>
          <w:lang w:eastAsia="ru-RU"/>
        </w:rPr>
      </w:pPr>
      <w:r w:rsidRPr="00613FDA">
        <w:rPr>
          <w:rFonts w:ascii="Arial" w:eastAsia="Times New Roman" w:hAnsi="Arial" w:cs="Arial"/>
          <w:noProof/>
          <w:sz w:val="24"/>
          <w:szCs w:val="24"/>
          <w:lang w:eastAsia="ru-RU"/>
        </w:rPr>
        <w:drawing>
          <wp:inline distT="0" distB="0" distL="0" distR="0">
            <wp:extent cx="5829300" cy="3648075"/>
            <wp:effectExtent l="0" t="0" r="0" b="9525"/>
            <wp:docPr id="1" name="Рисунок 1" descr="business finance ru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usiness finance rus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829300" cy="3648075"/>
                    </a:xfrm>
                    <a:prstGeom prst="rect">
                      <a:avLst/>
                    </a:prstGeom>
                    <a:noFill/>
                    <a:ln>
                      <a:noFill/>
                    </a:ln>
                  </pic:spPr>
                </pic:pic>
              </a:graphicData>
            </a:graphic>
          </wp:inline>
        </w:drawing>
      </w:r>
    </w:p>
    <w:p w:rsidR="00613FDA" w:rsidRPr="00613FDA" w:rsidRDefault="00613FDA" w:rsidP="00613FDA">
      <w:pPr>
        <w:spacing w:after="0"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 xml:space="preserve">На начальном этапе данное предприятие обладает здоровым уровнем ликвидности (этап 1). Затем его обороты увеличиваются в два раза, причём предприятие не приобретает новые </w:t>
      </w:r>
      <w:proofErr w:type="spellStart"/>
      <w:r w:rsidRPr="00613FDA">
        <w:rPr>
          <w:rFonts w:ascii="Arial" w:eastAsia="Times New Roman" w:hAnsi="Arial" w:cs="Arial"/>
          <w:sz w:val="24"/>
          <w:szCs w:val="24"/>
          <w:lang w:eastAsia="ru-RU"/>
        </w:rPr>
        <w:t>внеоборотные</w:t>
      </w:r>
      <w:proofErr w:type="spellEnd"/>
      <w:r w:rsidRPr="00613FDA">
        <w:rPr>
          <w:rFonts w:ascii="Arial" w:eastAsia="Times New Roman" w:hAnsi="Arial" w:cs="Arial"/>
          <w:sz w:val="24"/>
          <w:szCs w:val="24"/>
          <w:lang w:eastAsia="ru-RU"/>
        </w:rPr>
        <w:t xml:space="preserve"> активы и не привлекает дополнительный капитал за счёт выпуска акций.</w:t>
      </w:r>
    </w:p>
    <w:p w:rsidR="00613FDA" w:rsidRPr="00613FDA" w:rsidRDefault="00613FDA" w:rsidP="00613FDA">
      <w:pPr>
        <w:spacing w:before="400" w:after="0"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Логично предположить, что, если объём продаж увеличивается в два раза, то настолько же увеличатся запасы, дебиторская и кредиторская задолженность (этап 2). Однако в данном примере предприятие оказывается вынуждено использовать овердрафт (вероятно, непредвиденно и незапланированно) для финансирования чистых оборотных активов. Постоянное использование овердрафта – не самый надёжный вариант, и для компании целесообразно найти более постоянную форму капитала.</w:t>
      </w:r>
    </w:p>
    <w:p w:rsidR="00613FDA" w:rsidRPr="00613FDA" w:rsidRDefault="00613FDA" w:rsidP="00613FDA">
      <w:pPr>
        <w:spacing w:before="400" w:after="0"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При привлечении капитала компании необходимо решить, как его использовать. Существует два основных варианта использования капитала:</w:t>
      </w:r>
    </w:p>
    <w:p w:rsidR="00613FDA" w:rsidRPr="00613FDA" w:rsidRDefault="00613FDA" w:rsidP="00613FDA">
      <w:pPr>
        <w:numPr>
          <w:ilvl w:val="0"/>
          <w:numId w:val="5"/>
        </w:numPr>
        <w:spacing w:before="100" w:beforeAutospacing="1" w:after="100" w:afterAutospacing="1"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 xml:space="preserve">вложение во </w:t>
      </w:r>
      <w:proofErr w:type="spellStart"/>
      <w:r w:rsidRPr="00613FDA">
        <w:rPr>
          <w:rFonts w:ascii="Arial" w:eastAsia="Times New Roman" w:hAnsi="Arial" w:cs="Arial"/>
          <w:sz w:val="24"/>
          <w:szCs w:val="24"/>
          <w:lang w:eastAsia="ru-RU"/>
        </w:rPr>
        <w:t>внеоборотные</w:t>
      </w:r>
      <w:proofErr w:type="spellEnd"/>
      <w:r w:rsidRPr="00613FDA">
        <w:rPr>
          <w:rFonts w:ascii="Arial" w:eastAsia="Times New Roman" w:hAnsi="Arial" w:cs="Arial"/>
          <w:sz w:val="24"/>
          <w:szCs w:val="24"/>
          <w:lang w:eastAsia="ru-RU"/>
        </w:rPr>
        <w:t xml:space="preserve"> активы;</w:t>
      </w:r>
    </w:p>
    <w:p w:rsidR="00613FDA" w:rsidRPr="00613FDA" w:rsidRDefault="00613FDA" w:rsidP="00613FDA">
      <w:pPr>
        <w:numPr>
          <w:ilvl w:val="0"/>
          <w:numId w:val="5"/>
        </w:numPr>
        <w:spacing w:before="180" w:after="100" w:afterAutospacing="1"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вложение в оборотные активы, включая хранение капитала в форме денежных средств.</w:t>
      </w:r>
    </w:p>
    <w:p w:rsidR="00613FDA" w:rsidRPr="00613FDA" w:rsidRDefault="00613FDA" w:rsidP="00613FDA">
      <w:pPr>
        <w:spacing w:before="400" w:after="0"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 xml:space="preserve">Чем больший объём капитала вкладывается во </w:t>
      </w:r>
      <w:proofErr w:type="spellStart"/>
      <w:r w:rsidRPr="00613FDA">
        <w:rPr>
          <w:rFonts w:ascii="Arial" w:eastAsia="Times New Roman" w:hAnsi="Arial" w:cs="Arial"/>
          <w:sz w:val="24"/>
          <w:szCs w:val="24"/>
          <w:lang w:eastAsia="ru-RU"/>
        </w:rPr>
        <w:t>внеоборотные</w:t>
      </w:r>
      <w:proofErr w:type="spellEnd"/>
      <w:r w:rsidRPr="00613FDA">
        <w:rPr>
          <w:rFonts w:ascii="Arial" w:eastAsia="Times New Roman" w:hAnsi="Arial" w:cs="Arial"/>
          <w:sz w:val="24"/>
          <w:szCs w:val="24"/>
          <w:lang w:eastAsia="ru-RU"/>
        </w:rPr>
        <w:t xml:space="preserve"> активы, тем больше прибыли может заработать предприятие. Однако если выделить недостаточный объём денежных средств для финансирования оборотных активов, возрастает риск того, что у компании возникнут проблемы с ликвидностью.</w:t>
      </w:r>
    </w:p>
    <w:p w:rsidR="00613FDA" w:rsidRPr="00613FDA" w:rsidRDefault="00613FDA" w:rsidP="00613FDA">
      <w:pPr>
        <w:spacing w:before="400" w:after="0"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lastRenderedPageBreak/>
        <w:t>С другой стороны, направлять слишком большой объём капитала на финансирование оборотных активов нерационально: наличные денежные средства не принесут значительного процентного дохода (в то время как инвесторы хотят получать от предприятия более высокую прибыль), а вложение средств в запасы нередко сопряжено с расходами (связанными с хранением запасов, их повреждением или устареванием).</w:t>
      </w:r>
    </w:p>
    <w:p w:rsidR="00613FDA" w:rsidRPr="00613FDA" w:rsidRDefault="00613FDA" w:rsidP="00613FDA">
      <w:pPr>
        <w:spacing w:before="400" w:after="0"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Поэтому предприятие должно выработать политику в отношении оборотного капитала. Агрессивная политика предусматривает относительно низкий уровень оборотного капитала, в то время как консервативная политика предусматривает поддержание относительно высокого уровня оборотного капитала. Выбор той или иной политики отчасти определяется характером деятельности предприятия. Если движение денежных средств от коммерческой деятельности предприятия отличается высокой степенью предсказуемости, такое предприятие сможет придерживаться агрессивной политики. Однако если денежные потоки отличаются изменчивостью и с трудом поддаются прогнозированию, предприятию целесообразно предусмотреть определенный буфер безопасности при управлении денежными средствами. Кроме того, если предприятие прогнозирует убытки, ему необходимо обеспечить наличие денежных средств (например, на депозитном счёте, по которому начисляются проценты), чтобы справиться с ожидаемыми финансовыми сложностями.</w:t>
      </w:r>
    </w:p>
    <w:p w:rsidR="00613FDA" w:rsidRPr="00613FDA" w:rsidRDefault="00613FDA" w:rsidP="00613FDA">
      <w:pPr>
        <w:spacing w:before="400" w:after="0"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Следует отметить, что предприятию не обязательно иметь в своем распоряжении капитал для того, чтобы иметь возможность им воспользоваться в чрезвычайной ситуации. Достаточно заранее оформить право на получение займа на определенную сумму в случае необходимости – так называемую кредитную линию.</w:t>
      </w:r>
    </w:p>
    <w:p w:rsidR="00613FDA" w:rsidRPr="00613FDA" w:rsidRDefault="00613FDA" w:rsidP="00613FDA">
      <w:pPr>
        <w:spacing w:before="400" w:after="0"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Многие из нас используют кредитные линии в обычной жизни – в форме кредитных карт. При этом нет необходимости, например, держать $1,000 на счёте в банке на случай, если понадобится отремонтировать автомобиль – ремонт можно будет</w:t>
      </w:r>
      <w:r w:rsidRPr="00613FDA">
        <w:rPr>
          <w:rFonts w:ascii="Arial" w:eastAsia="Times New Roman" w:hAnsi="Arial" w:cs="Arial"/>
          <w:sz w:val="24"/>
          <w:szCs w:val="24"/>
          <w:lang w:eastAsia="ru-RU"/>
        </w:rPr>
        <w:br/>
      </w:r>
      <w:r w:rsidRPr="00613FDA">
        <w:rPr>
          <w:rFonts w:ascii="Arial" w:eastAsia="Times New Roman" w:hAnsi="Arial" w:cs="Arial"/>
          <w:sz w:val="24"/>
          <w:szCs w:val="24"/>
          <w:lang w:eastAsia="ru-RU"/>
        </w:rPr>
        <w:br/>
        <w:t>оплатить незамедлительно, расплатившись кредитной картой, и наличие такой подушки безопасности успокаивает. Конечно, в перспективе задолженность по кредитной карте будет необходимо погасить, но платежи в счёт погашения задолженности можно осуществлять по частям в течение определенного периода времени.</w:t>
      </w:r>
    </w:p>
    <w:p w:rsidR="00613FDA" w:rsidRPr="00613FDA" w:rsidRDefault="00613FDA" w:rsidP="00613FDA">
      <w:pPr>
        <w:spacing w:before="600" w:after="0" w:line="240" w:lineRule="auto"/>
        <w:ind w:left="-851"/>
        <w:jc w:val="both"/>
        <w:outlineLvl w:val="2"/>
        <w:rPr>
          <w:rFonts w:ascii="Arial" w:eastAsia="Times New Roman" w:hAnsi="Arial" w:cs="Arial"/>
          <w:b/>
          <w:bCs/>
          <w:color w:val="000000"/>
          <w:sz w:val="27"/>
          <w:szCs w:val="27"/>
          <w:lang w:eastAsia="ru-RU"/>
        </w:rPr>
      </w:pPr>
      <w:r w:rsidRPr="00613FDA">
        <w:rPr>
          <w:rFonts w:ascii="Arial" w:eastAsia="Times New Roman" w:hAnsi="Arial" w:cs="Arial"/>
          <w:b/>
          <w:bCs/>
          <w:color w:val="000000"/>
          <w:sz w:val="27"/>
          <w:szCs w:val="27"/>
          <w:lang w:eastAsia="ru-RU"/>
        </w:rPr>
        <w:t>Долго-, средне- и краткосрочный капитал</w:t>
      </w:r>
    </w:p>
    <w:p w:rsidR="00613FDA" w:rsidRPr="00613FDA" w:rsidRDefault="00613FDA" w:rsidP="00613FDA">
      <w:pPr>
        <w:spacing w:before="300" w:after="0"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Капитал может быть кратко-, средне или долгосрочным. В основе такого деления могут быть разные сроки, но чаще всего подход таков:</w:t>
      </w:r>
    </w:p>
    <w:p w:rsidR="00613FDA" w:rsidRPr="00613FDA" w:rsidRDefault="00613FDA" w:rsidP="00613FDA">
      <w:pPr>
        <w:numPr>
          <w:ilvl w:val="0"/>
          <w:numId w:val="6"/>
        </w:numPr>
        <w:spacing w:before="100" w:beforeAutospacing="1" w:after="100" w:afterAutospacing="1"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Краткосрочным считается капитал, предоставленный на срок до двух лет. Это, например, овердрафт, коммерческий кредит, факторинг и дисконтирование счетов-фактур.</w:t>
      </w:r>
    </w:p>
    <w:p w:rsidR="00613FDA" w:rsidRPr="00613FDA" w:rsidRDefault="00613FDA" w:rsidP="00613FDA">
      <w:pPr>
        <w:numPr>
          <w:ilvl w:val="0"/>
          <w:numId w:val="6"/>
        </w:numPr>
        <w:spacing w:before="180" w:after="100" w:afterAutospacing="1"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Среднесрочный капитал предоставляется на срок от двух до шести лет. К этой категории относятся, например, долгосрочные кредиты и лизинг.</w:t>
      </w:r>
    </w:p>
    <w:p w:rsidR="00613FDA" w:rsidRPr="00613FDA" w:rsidRDefault="00613FDA" w:rsidP="00613FDA">
      <w:pPr>
        <w:numPr>
          <w:ilvl w:val="0"/>
          <w:numId w:val="6"/>
        </w:numPr>
        <w:spacing w:before="180" w:after="100" w:afterAutospacing="1"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Долгосрочный капитал предоставляется на срок свыше пяти лет или бессрочно.</w:t>
      </w:r>
    </w:p>
    <w:p w:rsidR="00613FDA" w:rsidRPr="00613FDA" w:rsidRDefault="00613FDA" w:rsidP="00613FDA">
      <w:pPr>
        <w:spacing w:before="400" w:after="0"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lastRenderedPageBreak/>
        <w:t>Как правило, имеет смысл выбирать вид финансирования так, чтобы он совпадал со сроком службы соответствующих активов (принцип соотнесения). Мы используем такой подход и в частной жизни: например, для покупки квартиры мы берем ипотеку сроком на 25 лет, для приобретения автомобиля – кредит сроком на 3–5 лет, а во время поездки в отпуск расплачиваемся кредитной картой.</w:t>
      </w:r>
    </w:p>
    <w:tbl>
      <w:tblPr>
        <w:tblW w:w="10300" w:type="dxa"/>
        <w:tblCellMar>
          <w:top w:w="15" w:type="dxa"/>
          <w:left w:w="15" w:type="dxa"/>
          <w:bottom w:w="15" w:type="dxa"/>
          <w:right w:w="15" w:type="dxa"/>
        </w:tblCellMar>
        <w:tblLook w:val="04A0" w:firstRow="1" w:lastRow="0" w:firstColumn="1" w:lastColumn="0" w:noHBand="0" w:noVBand="1"/>
      </w:tblPr>
      <w:tblGrid>
        <w:gridCol w:w="2627"/>
        <w:gridCol w:w="7673"/>
      </w:tblGrid>
      <w:tr w:rsidR="00613FDA" w:rsidRPr="00613FDA" w:rsidTr="00613FDA">
        <w:trPr>
          <w:tblHeader/>
        </w:trPr>
        <w:tc>
          <w:tcPr>
            <w:tcW w:w="2370" w:type="dxa"/>
            <w:shd w:val="clear" w:color="auto" w:fill="B9B9B9"/>
            <w:tcMar>
              <w:top w:w="300" w:type="dxa"/>
              <w:left w:w="150" w:type="dxa"/>
              <w:bottom w:w="300" w:type="dxa"/>
              <w:right w:w="150" w:type="dxa"/>
            </w:tcMar>
            <w:hideMark/>
          </w:tcPr>
          <w:p w:rsidR="00613FDA" w:rsidRPr="00613FDA" w:rsidRDefault="00613FDA" w:rsidP="00613FDA">
            <w:pPr>
              <w:spacing w:after="600" w:line="240" w:lineRule="auto"/>
              <w:ind w:left="142"/>
              <w:jc w:val="both"/>
              <w:rPr>
                <w:rFonts w:ascii="Arial" w:eastAsia="Times New Roman" w:hAnsi="Arial" w:cs="Arial"/>
                <w:b/>
                <w:bCs/>
                <w:color w:val="FFFFFF"/>
                <w:sz w:val="24"/>
                <w:szCs w:val="24"/>
                <w:lang w:eastAsia="ru-RU"/>
              </w:rPr>
            </w:pPr>
            <w:r w:rsidRPr="00613FDA">
              <w:rPr>
                <w:rFonts w:ascii="Arial" w:eastAsia="Times New Roman" w:hAnsi="Arial" w:cs="Arial"/>
                <w:b/>
                <w:bCs/>
                <w:color w:val="FFFFFF"/>
                <w:sz w:val="24"/>
                <w:szCs w:val="24"/>
                <w:lang w:eastAsia="ru-RU"/>
              </w:rPr>
              <w:t>Для финансирования затрат на...</w:t>
            </w:r>
          </w:p>
        </w:tc>
        <w:tc>
          <w:tcPr>
            <w:tcW w:w="7335" w:type="dxa"/>
            <w:shd w:val="clear" w:color="auto" w:fill="B9B9B9"/>
            <w:tcMar>
              <w:top w:w="300" w:type="dxa"/>
              <w:left w:w="150" w:type="dxa"/>
              <w:bottom w:w="300" w:type="dxa"/>
              <w:right w:w="150" w:type="dxa"/>
            </w:tcMar>
            <w:hideMark/>
          </w:tcPr>
          <w:p w:rsidR="00613FDA" w:rsidRPr="00613FDA" w:rsidRDefault="00613FDA" w:rsidP="00613FDA">
            <w:pPr>
              <w:spacing w:after="600" w:line="240" w:lineRule="auto"/>
              <w:ind w:left="142"/>
              <w:jc w:val="both"/>
              <w:rPr>
                <w:rFonts w:ascii="Arial" w:eastAsia="Times New Roman" w:hAnsi="Arial" w:cs="Arial"/>
                <w:b/>
                <w:bCs/>
                <w:color w:val="FFFFFF"/>
                <w:sz w:val="24"/>
                <w:szCs w:val="24"/>
                <w:lang w:eastAsia="ru-RU"/>
              </w:rPr>
            </w:pPr>
            <w:r w:rsidRPr="00613FDA">
              <w:rPr>
                <w:rFonts w:ascii="Arial" w:eastAsia="Times New Roman" w:hAnsi="Arial" w:cs="Arial"/>
                <w:b/>
                <w:bCs/>
                <w:color w:val="FFFFFF"/>
                <w:sz w:val="24"/>
                <w:szCs w:val="24"/>
                <w:lang w:eastAsia="ru-RU"/>
              </w:rPr>
              <w:t>Следует рассмотреть следующие варианты...</w:t>
            </w:r>
          </w:p>
        </w:tc>
      </w:tr>
      <w:tr w:rsidR="00613FDA" w:rsidRPr="00613FDA" w:rsidTr="00613FDA">
        <w:tc>
          <w:tcPr>
            <w:tcW w:w="2415" w:type="dxa"/>
            <w:shd w:val="clear" w:color="auto" w:fill="FAFAFA"/>
            <w:tcMar>
              <w:top w:w="300" w:type="dxa"/>
              <w:left w:w="150" w:type="dxa"/>
              <w:bottom w:w="300" w:type="dxa"/>
              <w:right w:w="150" w:type="dxa"/>
            </w:tcMar>
            <w:hideMark/>
          </w:tcPr>
          <w:p w:rsidR="00613FDA" w:rsidRPr="00613FDA" w:rsidRDefault="00613FDA" w:rsidP="00613FDA">
            <w:pPr>
              <w:spacing w:after="600" w:line="240" w:lineRule="auto"/>
              <w:ind w:left="142"/>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Основные средства</w:t>
            </w:r>
          </w:p>
        </w:tc>
        <w:tc>
          <w:tcPr>
            <w:tcW w:w="6900" w:type="dxa"/>
            <w:shd w:val="clear" w:color="auto" w:fill="FAFAFA"/>
            <w:tcMar>
              <w:top w:w="300" w:type="dxa"/>
              <w:left w:w="150" w:type="dxa"/>
              <w:bottom w:w="300" w:type="dxa"/>
              <w:right w:w="150" w:type="dxa"/>
            </w:tcMar>
            <w:hideMark/>
          </w:tcPr>
          <w:p w:rsidR="00613FDA" w:rsidRPr="00613FDA" w:rsidRDefault="00613FDA" w:rsidP="00613FDA">
            <w:pPr>
              <w:spacing w:after="600" w:line="240" w:lineRule="auto"/>
              <w:ind w:left="142"/>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Акционерный капитал, облигации (для более крупных компаний), срочные займы (не менее чем на пять лет). Кроме того, существуют лизинговые компании, специализирующиеся на аренде определенных видов крупногабаритного оборудования, такого как печатные станки и самолёты.</w:t>
            </w:r>
          </w:p>
        </w:tc>
      </w:tr>
      <w:tr w:rsidR="00613FDA" w:rsidRPr="00613FDA" w:rsidTr="00613FDA">
        <w:tc>
          <w:tcPr>
            <w:tcW w:w="2415" w:type="dxa"/>
            <w:shd w:val="clear" w:color="auto" w:fill="FFFFFF"/>
            <w:tcMar>
              <w:top w:w="300" w:type="dxa"/>
              <w:left w:w="150" w:type="dxa"/>
              <w:bottom w:w="300" w:type="dxa"/>
              <w:right w:w="150" w:type="dxa"/>
            </w:tcMar>
            <w:hideMark/>
          </w:tcPr>
          <w:p w:rsidR="00613FDA" w:rsidRPr="00613FDA" w:rsidRDefault="00613FDA" w:rsidP="00613FDA">
            <w:pPr>
              <w:spacing w:after="600" w:line="240" w:lineRule="auto"/>
              <w:ind w:left="142"/>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Оборудование, транспортные средства</w:t>
            </w:r>
          </w:p>
        </w:tc>
        <w:tc>
          <w:tcPr>
            <w:tcW w:w="6900" w:type="dxa"/>
            <w:shd w:val="clear" w:color="auto" w:fill="FFFFFF"/>
            <w:tcMar>
              <w:top w:w="300" w:type="dxa"/>
              <w:left w:w="150" w:type="dxa"/>
              <w:bottom w:w="300" w:type="dxa"/>
              <w:right w:w="150" w:type="dxa"/>
            </w:tcMar>
            <w:hideMark/>
          </w:tcPr>
          <w:p w:rsidR="00613FDA" w:rsidRPr="00613FDA" w:rsidRDefault="00613FDA" w:rsidP="00613FDA">
            <w:pPr>
              <w:spacing w:after="600" w:line="240" w:lineRule="auto"/>
              <w:ind w:left="142"/>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Акционерный капитал, облигации (для более крупных компаний), срочные займы на срок около пяти лет, лизинг и аренда с правом выкупа.</w:t>
            </w:r>
          </w:p>
        </w:tc>
      </w:tr>
      <w:tr w:rsidR="00613FDA" w:rsidRPr="00613FDA" w:rsidTr="00613FDA">
        <w:tc>
          <w:tcPr>
            <w:tcW w:w="2415" w:type="dxa"/>
            <w:shd w:val="clear" w:color="auto" w:fill="FAFAFA"/>
            <w:tcMar>
              <w:top w:w="300" w:type="dxa"/>
              <w:left w:w="150" w:type="dxa"/>
              <w:bottom w:w="300" w:type="dxa"/>
              <w:right w:w="150" w:type="dxa"/>
            </w:tcMar>
            <w:hideMark/>
          </w:tcPr>
          <w:p w:rsidR="00613FDA" w:rsidRPr="00613FDA" w:rsidRDefault="00613FDA" w:rsidP="00613FDA">
            <w:pPr>
              <w:spacing w:after="600" w:line="240" w:lineRule="auto"/>
              <w:ind w:left="142"/>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Запасы, дебиторскую задолженность</w:t>
            </w:r>
          </w:p>
        </w:tc>
        <w:tc>
          <w:tcPr>
            <w:tcW w:w="6900" w:type="dxa"/>
            <w:shd w:val="clear" w:color="auto" w:fill="FAFAFA"/>
            <w:tcMar>
              <w:top w:w="300" w:type="dxa"/>
              <w:left w:w="150" w:type="dxa"/>
              <w:bottom w:w="300" w:type="dxa"/>
              <w:right w:w="150" w:type="dxa"/>
            </w:tcMar>
            <w:hideMark/>
          </w:tcPr>
          <w:p w:rsidR="00613FDA" w:rsidRPr="00613FDA" w:rsidRDefault="00613FDA" w:rsidP="00613FDA">
            <w:pPr>
              <w:spacing w:after="600" w:line="240" w:lineRule="auto"/>
              <w:ind w:left="142"/>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Акционерный капитал, облигации (для более крупных компаний), срочные займы, овердрафт, факторинг и дисконтирование счетов-фактур, торговый кредит.</w:t>
            </w:r>
          </w:p>
        </w:tc>
      </w:tr>
    </w:tbl>
    <w:p w:rsidR="00613FDA" w:rsidRPr="00613FDA" w:rsidRDefault="00613FDA" w:rsidP="00613FDA">
      <w:pPr>
        <w:spacing w:after="0" w:line="240" w:lineRule="auto"/>
        <w:ind w:left="142"/>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Как видно из таблицы выше, долгосрочный капитал (акции и облигации) может использоваться для финансирования всех классов активов. Хотя каждая индивидуальная позиция запасов и каждый отдельный счёт дебиторской задолженности и являются очень краткосрочными активами, общий объём запасов и дебиторской задолженности, требующий постоянного финансирования, обычно является относительно стабильным. Поэтому для финансирования большинства подобных активов целесообразно использовать долгосрочный капитал, а краткосрочный капитал применять в случае сезонного роста их объёма. Одна из проблем, связанных с краткосрочным финансированием, связана с тем, что оно быстро заканчивается, и, если по-прежнему существует потребность в средствах, приходится согласовывать предоставление дополнительного финансирования. Долгосрочный же капитал либо является бессрочным, либо относительно редко требует продления срока.</w:t>
      </w:r>
    </w:p>
    <w:p w:rsidR="00613FDA" w:rsidRPr="00613FDA" w:rsidRDefault="00613FDA" w:rsidP="00613FDA">
      <w:pPr>
        <w:spacing w:before="600" w:after="0" w:line="240" w:lineRule="auto"/>
        <w:ind w:left="142"/>
        <w:jc w:val="both"/>
        <w:outlineLvl w:val="2"/>
        <w:rPr>
          <w:rFonts w:ascii="Arial" w:eastAsia="Times New Roman" w:hAnsi="Arial" w:cs="Arial"/>
          <w:b/>
          <w:bCs/>
          <w:color w:val="000000"/>
          <w:sz w:val="27"/>
          <w:szCs w:val="27"/>
          <w:lang w:eastAsia="ru-RU"/>
        </w:rPr>
      </w:pPr>
      <w:r w:rsidRPr="00613FDA">
        <w:rPr>
          <w:rFonts w:ascii="Arial" w:eastAsia="Times New Roman" w:hAnsi="Arial" w:cs="Arial"/>
          <w:b/>
          <w:bCs/>
          <w:color w:val="000000"/>
          <w:sz w:val="27"/>
          <w:szCs w:val="27"/>
          <w:lang w:eastAsia="ru-RU"/>
        </w:rPr>
        <w:lastRenderedPageBreak/>
        <w:t>Зрелые предприятия</w:t>
      </w:r>
    </w:p>
    <w:p w:rsidR="00613FDA" w:rsidRPr="00613FDA" w:rsidRDefault="00613FDA" w:rsidP="00613FDA">
      <w:pPr>
        <w:spacing w:before="300" w:after="0" w:line="240" w:lineRule="auto"/>
        <w:ind w:left="142"/>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Предприятие, которое работает уже давно, при этом получает прибыль и демонстрирует рост, может воспользоваться дополнительными источниками финансирования, включая:</w:t>
      </w:r>
    </w:p>
    <w:p w:rsidR="00613FDA" w:rsidRPr="00613FDA" w:rsidRDefault="00613FDA" w:rsidP="00613FDA">
      <w:pPr>
        <w:numPr>
          <w:ilvl w:val="0"/>
          <w:numId w:val="7"/>
        </w:numPr>
        <w:spacing w:before="100" w:beforeAutospacing="1" w:after="100" w:afterAutospacing="1"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публичный акционерный капитал;</w:t>
      </w:r>
    </w:p>
    <w:p w:rsidR="00613FDA" w:rsidRPr="00613FDA" w:rsidRDefault="00613FDA" w:rsidP="00613FDA">
      <w:pPr>
        <w:numPr>
          <w:ilvl w:val="0"/>
          <w:numId w:val="7"/>
        </w:numPr>
        <w:spacing w:before="180" w:after="100" w:afterAutospacing="1"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долговые ценные бумаги, находящиеся в свободном обращении;</w:t>
      </w:r>
    </w:p>
    <w:p w:rsidR="00613FDA" w:rsidRPr="00613FDA" w:rsidRDefault="00613FDA" w:rsidP="00613FDA">
      <w:pPr>
        <w:numPr>
          <w:ilvl w:val="0"/>
          <w:numId w:val="7"/>
        </w:numPr>
        <w:spacing w:before="180" w:after="100" w:afterAutospacing="1"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конвертируемые облигации.</w:t>
      </w:r>
    </w:p>
    <w:p w:rsidR="00613FDA" w:rsidRPr="00613FDA" w:rsidRDefault="00613FDA" w:rsidP="00613FDA">
      <w:pPr>
        <w:spacing w:before="600" w:after="0" w:line="240" w:lineRule="auto"/>
        <w:ind w:left="-851"/>
        <w:jc w:val="both"/>
        <w:outlineLvl w:val="2"/>
        <w:rPr>
          <w:rFonts w:ascii="Arial" w:eastAsia="Times New Roman" w:hAnsi="Arial" w:cs="Arial"/>
          <w:b/>
          <w:bCs/>
          <w:color w:val="000000"/>
          <w:sz w:val="27"/>
          <w:szCs w:val="27"/>
          <w:lang w:eastAsia="ru-RU"/>
        </w:rPr>
      </w:pPr>
      <w:r w:rsidRPr="00613FDA">
        <w:rPr>
          <w:rFonts w:ascii="Arial" w:eastAsia="Times New Roman" w:hAnsi="Arial" w:cs="Arial"/>
          <w:b/>
          <w:bCs/>
          <w:color w:val="000000"/>
          <w:sz w:val="27"/>
          <w:szCs w:val="27"/>
          <w:lang w:eastAsia="ru-RU"/>
        </w:rPr>
        <w:t>Публичный акционерный капитал</w:t>
      </w:r>
    </w:p>
    <w:p w:rsidR="00613FDA" w:rsidRPr="00613FDA" w:rsidRDefault="00613FDA" w:rsidP="00613FDA">
      <w:pPr>
        <w:spacing w:before="300" w:after="0"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 xml:space="preserve">На некоторых фондовых биржах существуют различные виды листинга. </w:t>
      </w:r>
      <w:proofErr w:type="gramStart"/>
      <w:r w:rsidRPr="00613FDA">
        <w:rPr>
          <w:rFonts w:ascii="Arial" w:eastAsia="Times New Roman" w:hAnsi="Arial" w:cs="Arial"/>
          <w:sz w:val="24"/>
          <w:szCs w:val="24"/>
          <w:lang w:eastAsia="ru-RU"/>
        </w:rPr>
        <w:t>Например</w:t>
      </w:r>
      <w:proofErr w:type="gramEnd"/>
      <w:r w:rsidRPr="00613FDA">
        <w:rPr>
          <w:rFonts w:ascii="Arial" w:eastAsia="Times New Roman" w:hAnsi="Arial" w:cs="Arial"/>
          <w:sz w:val="24"/>
          <w:szCs w:val="24"/>
          <w:lang w:eastAsia="ru-RU"/>
        </w:rPr>
        <w:t>:</w:t>
      </w:r>
    </w:p>
    <w:p w:rsidR="00613FDA" w:rsidRPr="00613FDA" w:rsidRDefault="00613FDA" w:rsidP="00613FDA">
      <w:pPr>
        <w:numPr>
          <w:ilvl w:val="0"/>
          <w:numId w:val="8"/>
        </w:numPr>
        <w:spacing w:before="100" w:beforeAutospacing="1" w:after="100" w:afterAutospacing="1"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Лондонская фондовая биржа, на которой есть основной рынок и альтернативный инвестиционный рынок (AIM). Альтернативный инвестиционный рынок предназначен для небольших растущих компаний, облегчая им доступ к капиталу, необходимому для расширения своей деятельности.</w:t>
      </w:r>
    </w:p>
    <w:p w:rsidR="00613FDA" w:rsidRPr="00613FDA" w:rsidRDefault="00613FDA" w:rsidP="00613FDA">
      <w:pPr>
        <w:numPr>
          <w:ilvl w:val="0"/>
          <w:numId w:val="8"/>
        </w:numPr>
        <w:spacing w:before="180" w:after="100" w:afterAutospacing="1"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 xml:space="preserve">NASDAQ: это электронная торговая система в США, в состав которой тоже входят два рынка: NASDAQ </w:t>
      </w:r>
      <w:proofErr w:type="spellStart"/>
      <w:r w:rsidRPr="00613FDA">
        <w:rPr>
          <w:rFonts w:ascii="Arial" w:eastAsia="Times New Roman" w:hAnsi="Arial" w:cs="Arial"/>
          <w:sz w:val="24"/>
          <w:szCs w:val="24"/>
          <w:lang w:eastAsia="ru-RU"/>
        </w:rPr>
        <w:t>National</w:t>
      </w:r>
      <w:proofErr w:type="spellEnd"/>
      <w:r w:rsidRPr="00613FDA">
        <w:rPr>
          <w:rFonts w:ascii="Arial" w:eastAsia="Times New Roman" w:hAnsi="Arial" w:cs="Arial"/>
          <w:sz w:val="24"/>
          <w:szCs w:val="24"/>
          <w:lang w:eastAsia="ru-RU"/>
        </w:rPr>
        <w:t xml:space="preserve"> </w:t>
      </w:r>
      <w:proofErr w:type="spellStart"/>
      <w:r w:rsidRPr="00613FDA">
        <w:rPr>
          <w:rFonts w:ascii="Arial" w:eastAsia="Times New Roman" w:hAnsi="Arial" w:cs="Arial"/>
          <w:sz w:val="24"/>
          <w:szCs w:val="24"/>
          <w:lang w:eastAsia="ru-RU"/>
        </w:rPr>
        <w:t>Market</w:t>
      </w:r>
      <w:proofErr w:type="spellEnd"/>
      <w:r w:rsidRPr="00613FDA">
        <w:rPr>
          <w:rFonts w:ascii="Arial" w:eastAsia="Times New Roman" w:hAnsi="Arial" w:cs="Arial"/>
          <w:sz w:val="24"/>
          <w:szCs w:val="24"/>
          <w:lang w:eastAsia="ru-RU"/>
        </w:rPr>
        <w:t xml:space="preserve"> (Национальная рыночная система NASDAQ) для крупных, зарекомендовавших себя компаний, рыночная стоимость которых составляет не менее $70 млн, и NASDAQ </w:t>
      </w:r>
      <w:proofErr w:type="spellStart"/>
      <w:r w:rsidRPr="00613FDA">
        <w:rPr>
          <w:rFonts w:ascii="Arial" w:eastAsia="Times New Roman" w:hAnsi="Arial" w:cs="Arial"/>
          <w:sz w:val="24"/>
          <w:szCs w:val="24"/>
          <w:lang w:eastAsia="ru-RU"/>
        </w:rPr>
        <w:t>SmallCap</w:t>
      </w:r>
      <w:proofErr w:type="spellEnd"/>
      <w:r w:rsidRPr="00613FDA">
        <w:rPr>
          <w:rFonts w:ascii="Arial" w:eastAsia="Times New Roman" w:hAnsi="Arial" w:cs="Arial"/>
          <w:sz w:val="24"/>
          <w:szCs w:val="24"/>
          <w:lang w:eastAsia="ru-RU"/>
        </w:rPr>
        <w:t xml:space="preserve"> </w:t>
      </w:r>
      <w:proofErr w:type="spellStart"/>
      <w:r w:rsidRPr="00613FDA">
        <w:rPr>
          <w:rFonts w:ascii="Arial" w:eastAsia="Times New Roman" w:hAnsi="Arial" w:cs="Arial"/>
          <w:sz w:val="24"/>
          <w:szCs w:val="24"/>
          <w:lang w:eastAsia="ru-RU"/>
        </w:rPr>
        <w:t>Market</w:t>
      </w:r>
      <w:proofErr w:type="spellEnd"/>
      <w:r w:rsidRPr="00613FDA">
        <w:rPr>
          <w:rFonts w:ascii="Arial" w:eastAsia="Times New Roman" w:hAnsi="Arial" w:cs="Arial"/>
          <w:sz w:val="24"/>
          <w:szCs w:val="24"/>
          <w:lang w:eastAsia="ru-RU"/>
        </w:rPr>
        <w:t xml:space="preserve"> (Рынок NASDAQ для акций компаний малой капитализации).</w:t>
      </w:r>
    </w:p>
    <w:tbl>
      <w:tblPr>
        <w:tblW w:w="9923" w:type="dxa"/>
        <w:tblInd w:w="-709" w:type="dxa"/>
        <w:tblCellMar>
          <w:top w:w="15" w:type="dxa"/>
          <w:left w:w="15" w:type="dxa"/>
          <w:bottom w:w="15" w:type="dxa"/>
          <w:right w:w="15" w:type="dxa"/>
        </w:tblCellMar>
        <w:tblLook w:val="04A0" w:firstRow="1" w:lastRow="0" w:firstColumn="1" w:lastColumn="0" w:noHBand="0" w:noVBand="1"/>
      </w:tblPr>
      <w:tblGrid>
        <w:gridCol w:w="5341"/>
        <w:gridCol w:w="4582"/>
      </w:tblGrid>
      <w:tr w:rsidR="00613FDA" w:rsidRPr="00613FDA" w:rsidTr="00613FDA">
        <w:trPr>
          <w:tblHeader/>
        </w:trPr>
        <w:tc>
          <w:tcPr>
            <w:tcW w:w="5341" w:type="dxa"/>
            <w:shd w:val="clear" w:color="auto" w:fill="B9B9B9"/>
            <w:tcMar>
              <w:top w:w="300" w:type="dxa"/>
              <w:left w:w="150" w:type="dxa"/>
              <w:bottom w:w="300" w:type="dxa"/>
              <w:right w:w="150" w:type="dxa"/>
            </w:tcMar>
            <w:hideMark/>
          </w:tcPr>
          <w:p w:rsidR="00613FDA" w:rsidRPr="00613FDA" w:rsidRDefault="00613FDA" w:rsidP="00613FDA">
            <w:pPr>
              <w:spacing w:after="600" w:line="240" w:lineRule="auto"/>
              <w:ind w:left="129"/>
              <w:jc w:val="both"/>
              <w:rPr>
                <w:rFonts w:ascii="Arial" w:eastAsia="Times New Roman" w:hAnsi="Arial" w:cs="Arial"/>
                <w:b/>
                <w:bCs/>
                <w:color w:val="FFFFFF"/>
                <w:sz w:val="24"/>
                <w:szCs w:val="24"/>
                <w:lang w:eastAsia="ru-RU"/>
              </w:rPr>
            </w:pPr>
            <w:r w:rsidRPr="00613FDA">
              <w:rPr>
                <w:rFonts w:ascii="Arial" w:eastAsia="Times New Roman" w:hAnsi="Arial" w:cs="Arial"/>
                <w:b/>
                <w:bCs/>
                <w:color w:val="FFFFFF"/>
                <w:sz w:val="24"/>
                <w:szCs w:val="24"/>
                <w:lang w:eastAsia="ru-RU"/>
              </w:rPr>
              <w:t>Альтернативный инвестиционный рынок (AIM)</w:t>
            </w:r>
          </w:p>
        </w:tc>
        <w:tc>
          <w:tcPr>
            <w:tcW w:w="4582" w:type="dxa"/>
            <w:shd w:val="clear" w:color="auto" w:fill="B9B9B9"/>
            <w:tcMar>
              <w:top w:w="300" w:type="dxa"/>
              <w:left w:w="150" w:type="dxa"/>
              <w:bottom w:w="300" w:type="dxa"/>
              <w:right w:w="150" w:type="dxa"/>
            </w:tcMar>
            <w:hideMark/>
          </w:tcPr>
          <w:p w:rsidR="00613FDA" w:rsidRPr="00613FDA" w:rsidRDefault="00613FDA" w:rsidP="00613FDA">
            <w:pPr>
              <w:spacing w:after="600" w:line="240" w:lineRule="auto"/>
              <w:ind w:left="129"/>
              <w:jc w:val="both"/>
              <w:rPr>
                <w:rFonts w:ascii="Arial" w:eastAsia="Times New Roman" w:hAnsi="Arial" w:cs="Arial"/>
                <w:b/>
                <w:bCs/>
                <w:color w:val="FFFFFF"/>
                <w:sz w:val="24"/>
                <w:szCs w:val="24"/>
                <w:lang w:eastAsia="ru-RU"/>
              </w:rPr>
            </w:pPr>
            <w:r w:rsidRPr="00613FDA">
              <w:rPr>
                <w:rFonts w:ascii="Arial" w:eastAsia="Times New Roman" w:hAnsi="Arial" w:cs="Arial"/>
                <w:b/>
                <w:bCs/>
                <w:color w:val="FFFFFF"/>
                <w:sz w:val="24"/>
                <w:szCs w:val="24"/>
                <w:lang w:eastAsia="ru-RU"/>
              </w:rPr>
              <w:t>Основной рынок</w:t>
            </w:r>
          </w:p>
        </w:tc>
      </w:tr>
      <w:tr w:rsidR="00613FDA" w:rsidRPr="00613FDA" w:rsidTr="00613FDA">
        <w:tc>
          <w:tcPr>
            <w:tcW w:w="5341" w:type="dxa"/>
            <w:shd w:val="clear" w:color="auto" w:fill="FAFAFA"/>
            <w:tcMar>
              <w:top w:w="300" w:type="dxa"/>
              <w:left w:w="150" w:type="dxa"/>
              <w:bottom w:w="300" w:type="dxa"/>
              <w:right w:w="150" w:type="dxa"/>
            </w:tcMar>
            <w:hideMark/>
          </w:tcPr>
          <w:p w:rsidR="00613FDA" w:rsidRPr="00613FDA" w:rsidRDefault="00613FDA" w:rsidP="00613FDA">
            <w:pPr>
              <w:spacing w:after="600" w:line="240" w:lineRule="auto"/>
              <w:ind w:left="129"/>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Требований к предоставлению данных о результатах деятельности нет</w:t>
            </w:r>
          </w:p>
        </w:tc>
        <w:tc>
          <w:tcPr>
            <w:tcW w:w="4582" w:type="dxa"/>
            <w:shd w:val="clear" w:color="auto" w:fill="FAFAFA"/>
            <w:tcMar>
              <w:top w:w="300" w:type="dxa"/>
              <w:left w:w="150" w:type="dxa"/>
              <w:bottom w:w="300" w:type="dxa"/>
              <w:right w:w="150" w:type="dxa"/>
            </w:tcMar>
            <w:hideMark/>
          </w:tcPr>
          <w:p w:rsidR="00613FDA" w:rsidRPr="00613FDA" w:rsidRDefault="00613FDA" w:rsidP="00613FDA">
            <w:pPr>
              <w:spacing w:after="600" w:line="240" w:lineRule="auto"/>
              <w:ind w:left="129"/>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Как правило, требуется предоставление данных о результатах деятельности за последние три года</w:t>
            </w:r>
          </w:p>
        </w:tc>
      </w:tr>
      <w:tr w:rsidR="00613FDA" w:rsidRPr="00613FDA" w:rsidTr="00613FDA">
        <w:tc>
          <w:tcPr>
            <w:tcW w:w="5341" w:type="dxa"/>
            <w:shd w:val="clear" w:color="auto" w:fill="FFFFFF"/>
            <w:tcMar>
              <w:top w:w="300" w:type="dxa"/>
              <w:left w:w="150" w:type="dxa"/>
              <w:bottom w:w="300" w:type="dxa"/>
              <w:right w:w="150" w:type="dxa"/>
            </w:tcMar>
            <w:hideMark/>
          </w:tcPr>
          <w:p w:rsidR="00613FDA" w:rsidRPr="00613FDA" w:rsidRDefault="00613FDA" w:rsidP="00613FDA">
            <w:pPr>
              <w:spacing w:after="600" w:line="240" w:lineRule="auto"/>
              <w:ind w:left="129"/>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Минимальная доля акций в свободном обращении не установлена</w:t>
            </w:r>
          </w:p>
        </w:tc>
        <w:tc>
          <w:tcPr>
            <w:tcW w:w="4582" w:type="dxa"/>
            <w:shd w:val="clear" w:color="auto" w:fill="FFFFFF"/>
            <w:tcMar>
              <w:top w:w="300" w:type="dxa"/>
              <w:left w:w="150" w:type="dxa"/>
              <w:bottom w:w="300" w:type="dxa"/>
              <w:right w:w="150" w:type="dxa"/>
            </w:tcMar>
            <w:hideMark/>
          </w:tcPr>
          <w:p w:rsidR="00613FDA" w:rsidRPr="00613FDA" w:rsidRDefault="00613FDA" w:rsidP="00613FDA">
            <w:pPr>
              <w:spacing w:after="600" w:line="240" w:lineRule="auto"/>
              <w:ind w:left="129"/>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25% акций должны быть в свободном обращении</w:t>
            </w:r>
          </w:p>
        </w:tc>
      </w:tr>
      <w:tr w:rsidR="00613FDA" w:rsidRPr="00613FDA" w:rsidTr="00613FDA">
        <w:tc>
          <w:tcPr>
            <w:tcW w:w="5341" w:type="dxa"/>
            <w:shd w:val="clear" w:color="auto" w:fill="FAFAFA"/>
            <w:tcMar>
              <w:top w:w="300" w:type="dxa"/>
              <w:left w:w="150" w:type="dxa"/>
              <w:bottom w:w="300" w:type="dxa"/>
              <w:right w:w="150" w:type="dxa"/>
            </w:tcMar>
            <w:hideMark/>
          </w:tcPr>
          <w:p w:rsidR="00613FDA" w:rsidRPr="00613FDA" w:rsidRDefault="00613FDA" w:rsidP="00613FDA">
            <w:pPr>
              <w:spacing w:after="600" w:line="240" w:lineRule="auto"/>
              <w:ind w:left="129"/>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lastRenderedPageBreak/>
              <w:t>Требований к минимальному уровню рыночной капитализации нет</w:t>
            </w:r>
          </w:p>
        </w:tc>
        <w:tc>
          <w:tcPr>
            <w:tcW w:w="4582" w:type="dxa"/>
            <w:shd w:val="clear" w:color="auto" w:fill="FAFAFA"/>
            <w:tcMar>
              <w:top w:w="300" w:type="dxa"/>
              <w:left w:w="150" w:type="dxa"/>
              <w:bottom w:w="300" w:type="dxa"/>
              <w:right w:w="150" w:type="dxa"/>
            </w:tcMar>
            <w:hideMark/>
          </w:tcPr>
          <w:p w:rsidR="00613FDA" w:rsidRPr="00613FDA" w:rsidRDefault="00613FDA" w:rsidP="00613FDA">
            <w:pPr>
              <w:spacing w:after="600" w:line="240" w:lineRule="auto"/>
              <w:ind w:left="129"/>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Рыночная капитализация не менее £700,000 (такой низкий порог установлен специально)</w:t>
            </w:r>
          </w:p>
        </w:tc>
      </w:tr>
    </w:tbl>
    <w:p w:rsidR="00613FDA" w:rsidRPr="00613FDA" w:rsidRDefault="00613FDA" w:rsidP="00613FDA">
      <w:pPr>
        <w:shd w:val="clear" w:color="auto" w:fill="FFFFFF"/>
        <w:spacing w:after="0" w:line="240" w:lineRule="auto"/>
        <w:ind w:left="-851"/>
        <w:jc w:val="both"/>
        <w:rPr>
          <w:rFonts w:ascii="Arial" w:eastAsia="Times New Roman" w:hAnsi="Arial" w:cs="Arial"/>
          <w:color w:val="595959"/>
          <w:sz w:val="24"/>
          <w:szCs w:val="24"/>
          <w:lang w:eastAsia="ru-RU"/>
        </w:rPr>
      </w:pPr>
      <w:r w:rsidRPr="00613FDA">
        <w:rPr>
          <w:rFonts w:ascii="Arial" w:eastAsia="Times New Roman" w:hAnsi="Arial" w:cs="Arial"/>
          <w:color w:val="595959"/>
          <w:sz w:val="24"/>
          <w:szCs w:val="24"/>
          <w:lang w:eastAsia="ru-RU"/>
        </w:rPr>
        <w:t>Первая публичная продажа акций компании называется IPO, т.е. первоначальное публичное предложение. Компании, собирающейся пройти процедуру листинга, необходимо подготовить проспект ценных бумаг, содержащий информацию о выставляемых на продажу акциях, а также информацию о показателях компании, её финансовую отчётность за последнее время, информацию о директорах компании и их вознаграждении.</w:t>
      </w:r>
    </w:p>
    <w:p w:rsidR="00613FDA" w:rsidRPr="00613FDA" w:rsidRDefault="00613FDA" w:rsidP="00613FDA">
      <w:pPr>
        <w:shd w:val="clear" w:color="auto" w:fill="FFFFFF"/>
        <w:spacing w:before="400" w:after="0" w:line="240" w:lineRule="auto"/>
        <w:ind w:left="-851"/>
        <w:jc w:val="both"/>
        <w:rPr>
          <w:rFonts w:ascii="Arial" w:eastAsia="Times New Roman" w:hAnsi="Arial" w:cs="Arial"/>
          <w:color w:val="595959"/>
          <w:sz w:val="24"/>
          <w:szCs w:val="24"/>
          <w:lang w:eastAsia="ru-RU"/>
        </w:rPr>
      </w:pPr>
      <w:r w:rsidRPr="00613FDA">
        <w:rPr>
          <w:rFonts w:ascii="Arial" w:eastAsia="Times New Roman" w:hAnsi="Arial" w:cs="Arial"/>
          <w:color w:val="595959"/>
          <w:sz w:val="24"/>
          <w:szCs w:val="24"/>
          <w:lang w:eastAsia="ru-RU"/>
        </w:rPr>
        <w:t>Листинг акций может быть проведен в форме:</w:t>
      </w:r>
    </w:p>
    <w:p w:rsidR="00613FDA" w:rsidRPr="00613FDA" w:rsidRDefault="00613FDA" w:rsidP="00613FDA">
      <w:pPr>
        <w:numPr>
          <w:ilvl w:val="0"/>
          <w:numId w:val="9"/>
        </w:numPr>
        <w:shd w:val="clear" w:color="auto" w:fill="FFFFFF"/>
        <w:spacing w:before="100" w:beforeAutospacing="1" w:after="100" w:afterAutospacing="1" w:line="240" w:lineRule="auto"/>
        <w:ind w:left="-851"/>
        <w:jc w:val="both"/>
        <w:rPr>
          <w:rFonts w:ascii="Arial" w:eastAsia="Times New Roman" w:hAnsi="Arial" w:cs="Arial"/>
          <w:color w:val="595959"/>
          <w:sz w:val="24"/>
          <w:szCs w:val="24"/>
          <w:lang w:eastAsia="ru-RU"/>
        </w:rPr>
      </w:pPr>
      <w:r w:rsidRPr="00613FDA">
        <w:rPr>
          <w:rFonts w:ascii="Arial" w:eastAsia="Times New Roman" w:hAnsi="Arial" w:cs="Arial"/>
          <w:color w:val="595959"/>
          <w:sz w:val="24"/>
          <w:szCs w:val="24"/>
          <w:lang w:eastAsia="ru-RU"/>
        </w:rPr>
        <w:t>Предложение акций для продажи по фиксированной цене: компания представляет предложение о прямой публичной продаже акций по фиксированной цене, например, поместив объявления в газетах. На самом деле акции, как правило, продаются так называемому «эмиссионному учреждению», которое затем перепродаёт их широкому кругу лиц.</w:t>
      </w:r>
    </w:p>
    <w:p w:rsidR="00613FDA" w:rsidRPr="00613FDA" w:rsidRDefault="00613FDA" w:rsidP="00613FDA">
      <w:pPr>
        <w:numPr>
          <w:ilvl w:val="0"/>
          <w:numId w:val="9"/>
        </w:numPr>
        <w:shd w:val="clear" w:color="auto" w:fill="FFFFFF"/>
        <w:spacing w:before="180" w:after="100" w:afterAutospacing="1" w:line="240" w:lineRule="auto"/>
        <w:ind w:left="-851"/>
        <w:jc w:val="both"/>
        <w:rPr>
          <w:rFonts w:ascii="Arial" w:eastAsia="Times New Roman" w:hAnsi="Arial" w:cs="Arial"/>
          <w:color w:val="595959"/>
          <w:sz w:val="24"/>
          <w:szCs w:val="24"/>
          <w:lang w:eastAsia="ru-RU"/>
        </w:rPr>
      </w:pPr>
      <w:r w:rsidRPr="00613FDA">
        <w:rPr>
          <w:rFonts w:ascii="Arial" w:eastAsia="Times New Roman" w:hAnsi="Arial" w:cs="Arial"/>
          <w:color w:val="595959"/>
          <w:sz w:val="24"/>
          <w:szCs w:val="24"/>
          <w:lang w:eastAsia="ru-RU"/>
        </w:rPr>
        <w:t>Предложение акций для продажи путем тендера: инвесторам направляется приглашение к участию в торгах, и все участники торгов, предложившие цену выше минимальной (определённой в результате обработки заявок), смогут приобрести акции по данной минимальной цене.</w:t>
      </w:r>
    </w:p>
    <w:p w:rsidR="00613FDA" w:rsidRPr="00613FDA" w:rsidRDefault="00613FDA" w:rsidP="00613FDA">
      <w:pPr>
        <w:numPr>
          <w:ilvl w:val="0"/>
          <w:numId w:val="9"/>
        </w:numPr>
        <w:shd w:val="clear" w:color="auto" w:fill="FFFFFF"/>
        <w:spacing w:before="180" w:after="100" w:afterAutospacing="1" w:line="240" w:lineRule="auto"/>
        <w:ind w:left="-851"/>
        <w:jc w:val="both"/>
        <w:rPr>
          <w:rFonts w:ascii="Arial" w:eastAsia="Times New Roman" w:hAnsi="Arial" w:cs="Arial"/>
          <w:color w:val="595959"/>
          <w:sz w:val="24"/>
          <w:szCs w:val="24"/>
          <w:lang w:eastAsia="ru-RU"/>
        </w:rPr>
      </w:pPr>
      <w:r w:rsidRPr="00613FDA">
        <w:rPr>
          <w:rFonts w:ascii="Arial" w:eastAsia="Times New Roman" w:hAnsi="Arial" w:cs="Arial"/>
          <w:color w:val="595959"/>
          <w:sz w:val="24"/>
          <w:szCs w:val="24"/>
          <w:lang w:eastAsia="ru-RU"/>
        </w:rPr>
        <w:t>Размещение: акции предлагаются ограниченному числу институциональных инвесторов. Поскольку в этом случае потребность в рекламе и информационном обеспечении ниже, этот метод дешевле предложения акций для продажи, и поэтому подходит для проведения IPO небольшими компаниями.</w:t>
      </w:r>
    </w:p>
    <w:p w:rsidR="00613FDA" w:rsidRPr="00613FDA" w:rsidRDefault="00613FDA" w:rsidP="00613FDA">
      <w:pPr>
        <w:numPr>
          <w:ilvl w:val="0"/>
          <w:numId w:val="9"/>
        </w:numPr>
        <w:shd w:val="clear" w:color="auto" w:fill="FFFFFF"/>
        <w:spacing w:before="180" w:after="100" w:afterAutospacing="1" w:line="240" w:lineRule="auto"/>
        <w:ind w:left="-851"/>
        <w:jc w:val="both"/>
        <w:rPr>
          <w:rFonts w:ascii="Arial" w:eastAsia="Times New Roman" w:hAnsi="Arial" w:cs="Arial"/>
          <w:color w:val="595959"/>
          <w:sz w:val="24"/>
          <w:szCs w:val="24"/>
          <w:lang w:eastAsia="ru-RU"/>
        </w:rPr>
      </w:pPr>
      <w:r w:rsidRPr="00613FDA">
        <w:rPr>
          <w:rFonts w:ascii="Arial" w:eastAsia="Times New Roman" w:hAnsi="Arial" w:cs="Arial"/>
          <w:color w:val="595959"/>
          <w:sz w:val="24"/>
          <w:szCs w:val="24"/>
          <w:lang w:eastAsia="ru-RU"/>
        </w:rPr>
        <w:t>Допуск акций к котировке на бирже: этот метод используется редко – только в тех случаях, когда акции компании уже находятся в свободном обращении. При этом новые денежные средства не привлекаются.</w:t>
      </w:r>
    </w:p>
    <w:p w:rsidR="00613FDA" w:rsidRPr="00613FDA" w:rsidRDefault="00613FDA" w:rsidP="00613FDA">
      <w:pPr>
        <w:shd w:val="clear" w:color="auto" w:fill="FFFFFF"/>
        <w:spacing w:before="400" w:after="0" w:line="240" w:lineRule="auto"/>
        <w:ind w:left="-851"/>
        <w:jc w:val="both"/>
        <w:rPr>
          <w:rFonts w:ascii="Arial" w:eastAsia="Times New Roman" w:hAnsi="Arial" w:cs="Arial"/>
          <w:color w:val="595959"/>
          <w:sz w:val="24"/>
          <w:szCs w:val="24"/>
          <w:lang w:eastAsia="ru-RU"/>
        </w:rPr>
      </w:pPr>
      <w:r w:rsidRPr="00613FDA">
        <w:rPr>
          <w:rFonts w:ascii="Arial" w:eastAsia="Times New Roman" w:hAnsi="Arial" w:cs="Arial"/>
          <w:color w:val="595959"/>
          <w:sz w:val="24"/>
          <w:szCs w:val="24"/>
          <w:lang w:eastAsia="ru-RU"/>
        </w:rPr>
        <w:t>Последующие выпуски акций могут проводиться в форме выпуска прав, при котором существующим акционерам предлагается приобрести новые акции пропорционально количеству уже принадлежащих им акций. Чтобы такое предложение выглядело более привлекательным, новые акции предлагаются по цене ниже текущей рыночной стоимости.</w:t>
      </w:r>
    </w:p>
    <w:p w:rsidR="00613FDA" w:rsidRPr="00613FDA" w:rsidRDefault="00613FDA" w:rsidP="00613FDA">
      <w:pPr>
        <w:shd w:val="clear" w:color="auto" w:fill="FFFFFF"/>
        <w:spacing w:before="400" w:after="0" w:line="240" w:lineRule="auto"/>
        <w:ind w:left="-851"/>
        <w:jc w:val="both"/>
        <w:rPr>
          <w:rFonts w:ascii="Arial" w:eastAsia="Times New Roman" w:hAnsi="Arial" w:cs="Arial"/>
          <w:color w:val="595959"/>
          <w:sz w:val="24"/>
          <w:szCs w:val="24"/>
          <w:lang w:eastAsia="ru-RU"/>
        </w:rPr>
      </w:pPr>
      <w:r w:rsidRPr="00613FDA">
        <w:rPr>
          <w:rFonts w:ascii="Arial" w:eastAsia="Times New Roman" w:hAnsi="Arial" w:cs="Arial"/>
          <w:color w:val="595959"/>
          <w:sz w:val="24"/>
          <w:szCs w:val="24"/>
          <w:lang w:eastAsia="ru-RU"/>
        </w:rPr>
        <w:t xml:space="preserve">Однако в теории, независимо от того, по какой цене проводится выпуск прав, и от того, воспользуются ли акционеры своими правами на новые акции или перепродадут их, финансовое положение акционеров при этом не изменится. В ходе выпуска прав </w:t>
      </w:r>
      <w:r w:rsidRPr="00613FDA">
        <w:rPr>
          <w:rFonts w:ascii="Arial" w:eastAsia="Times New Roman" w:hAnsi="Arial" w:cs="Arial"/>
          <w:color w:val="595959"/>
          <w:sz w:val="24"/>
          <w:szCs w:val="24"/>
          <w:lang w:eastAsia="ru-RU"/>
        </w:rPr>
        <w:lastRenderedPageBreak/>
        <w:t>денежные средства просто переводятся с банковского счёта акционера на банковский счёт компании, и уровень богатства акционеров не повышается и не понижается.</w:t>
      </w:r>
    </w:p>
    <w:p w:rsidR="00613FDA" w:rsidRPr="00613FDA" w:rsidRDefault="00613FDA" w:rsidP="00613FDA">
      <w:pPr>
        <w:shd w:val="clear" w:color="auto" w:fill="FFFFFF"/>
        <w:spacing w:before="400" w:after="0" w:line="240" w:lineRule="auto"/>
        <w:ind w:left="-851"/>
        <w:jc w:val="both"/>
        <w:rPr>
          <w:rFonts w:ascii="Arial" w:eastAsia="Times New Roman" w:hAnsi="Arial" w:cs="Arial"/>
          <w:color w:val="595959"/>
          <w:sz w:val="24"/>
          <w:szCs w:val="24"/>
          <w:lang w:eastAsia="ru-RU"/>
        </w:rPr>
      </w:pPr>
      <w:r w:rsidRPr="00613FDA">
        <w:rPr>
          <w:rFonts w:ascii="Arial" w:eastAsia="Times New Roman" w:hAnsi="Arial" w:cs="Arial"/>
          <w:color w:val="595959"/>
          <w:sz w:val="24"/>
          <w:szCs w:val="24"/>
          <w:lang w:eastAsia="ru-RU"/>
        </w:rPr>
        <w:t>Листинг на бирже открывает для компаний доступ к потенциально огромному источнику нового капитала. Но листинг также означает повышенное внимание к деятельности компании и повышенную ответственность. Хотя он позволяет укрепить положение и репутацию компании, для её основателей, которые привыкли управлять компанией по-своему, листинг часто означает рост вмешательства извне – со стороны увеличившегося круга лиц, в собственности которых теперь находятся акции компании.</w:t>
      </w:r>
    </w:p>
    <w:p w:rsidR="00613FDA" w:rsidRPr="00613FDA" w:rsidRDefault="00613FDA" w:rsidP="00613FDA">
      <w:pPr>
        <w:shd w:val="clear" w:color="auto" w:fill="FFFFFF"/>
        <w:spacing w:before="600" w:after="0" w:line="240" w:lineRule="auto"/>
        <w:ind w:left="-851"/>
        <w:jc w:val="both"/>
        <w:outlineLvl w:val="2"/>
        <w:rPr>
          <w:rFonts w:ascii="Arial" w:eastAsia="Times New Roman" w:hAnsi="Arial" w:cs="Arial"/>
          <w:b/>
          <w:bCs/>
          <w:color w:val="000000"/>
          <w:sz w:val="27"/>
          <w:szCs w:val="27"/>
          <w:lang w:eastAsia="ru-RU"/>
        </w:rPr>
      </w:pPr>
      <w:r w:rsidRPr="00613FDA">
        <w:rPr>
          <w:rFonts w:ascii="Arial" w:eastAsia="Times New Roman" w:hAnsi="Arial" w:cs="Arial"/>
          <w:b/>
          <w:bCs/>
          <w:color w:val="000000"/>
          <w:sz w:val="27"/>
          <w:szCs w:val="27"/>
          <w:lang w:eastAsia="ru-RU"/>
        </w:rPr>
        <w:t>Долговые ценные бумаги, находящиеся в свободном обращении</w:t>
      </w:r>
    </w:p>
    <w:p w:rsidR="00613FDA" w:rsidRPr="00613FDA" w:rsidRDefault="00613FDA" w:rsidP="00613FDA">
      <w:pPr>
        <w:shd w:val="clear" w:color="auto" w:fill="FFFFFF"/>
        <w:spacing w:before="300" w:after="0" w:line="240" w:lineRule="auto"/>
        <w:ind w:left="-851"/>
        <w:jc w:val="both"/>
        <w:rPr>
          <w:rFonts w:ascii="Arial" w:eastAsia="Times New Roman" w:hAnsi="Arial" w:cs="Arial"/>
          <w:color w:val="595959"/>
          <w:sz w:val="24"/>
          <w:szCs w:val="24"/>
          <w:lang w:eastAsia="ru-RU"/>
        </w:rPr>
      </w:pPr>
      <w:r w:rsidRPr="00613FDA">
        <w:rPr>
          <w:rFonts w:ascii="Arial" w:eastAsia="Times New Roman" w:hAnsi="Arial" w:cs="Arial"/>
          <w:color w:val="595959"/>
          <w:sz w:val="24"/>
          <w:szCs w:val="24"/>
          <w:lang w:eastAsia="ru-RU"/>
        </w:rPr>
        <w:t>К этой категории относятся котируемые облигации и векселя: финансовые инструменты, по которым выплачивается купонный доход, и рыночная стоимость которых может колебаться. Облигации могут быть срочными или бессрочными. Как правило, они обеспечены залогом. Обеспеченные достаточным залогом облигации компаний с относительно невысокой долей заёмных средств представляют собой объект инвестиций с низким уровнем риска. Поэтому держатели таких облигаций, как правило, не требуют высокого уровня доходности. Стоимость облигаций для компании-заёмщика оказывается еще ниже, если учесть налоговый эффект, связанный с тем, что проценты уменьшают налог на прибыль.</w:t>
      </w:r>
    </w:p>
    <w:p w:rsidR="00613FDA" w:rsidRPr="00613FDA" w:rsidRDefault="00613FDA" w:rsidP="00613FDA">
      <w:pPr>
        <w:shd w:val="clear" w:color="auto" w:fill="FFFFFF"/>
        <w:spacing w:before="600" w:after="0" w:line="240" w:lineRule="auto"/>
        <w:ind w:left="-851"/>
        <w:jc w:val="both"/>
        <w:outlineLvl w:val="2"/>
        <w:rPr>
          <w:rFonts w:ascii="Arial" w:eastAsia="Times New Roman" w:hAnsi="Arial" w:cs="Arial"/>
          <w:b/>
          <w:bCs/>
          <w:color w:val="000000"/>
          <w:sz w:val="27"/>
          <w:szCs w:val="27"/>
          <w:lang w:eastAsia="ru-RU"/>
        </w:rPr>
      </w:pPr>
      <w:r w:rsidRPr="00613FDA">
        <w:rPr>
          <w:rFonts w:ascii="Arial" w:eastAsia="Times New Roman" w:hAnsi="Arial" w:cs="Arial"/>
          <w:b/>
          <w:bCs/>
          <w:color w:val="000000"/>
          <w:sz w:val="27"/>
          <w:szCs w:val="27"/>
          <w:lang w:eastAsia="ru-RU"/>
        </w:rPr>
        <w:t>Конвертируемые облигации</w:t>
      </w:r>
    </w:p>
    <w:p w:rsidR="00613FDA" w:rsidRPr="00613FDA" w:rsidRDefault="00613FDA" w:rsidP="00613FDA">
      <w:pPr>
        <w:shd w:val="clear" w:color="auto" w:fill="FFFFFF"/>
        <w:spacing w:before="300" w:after="0" w:line="240" w:lineRule="auto"/>
        <w:ind w:left="-851"/>
        <w:jc w:val="both"/>
        <w:rPr>
          <w:rFonts w:ascii="Arial" w:eastAsia="Times New Roman" w:hAnsi="Arial" w:cs="Arial"/>
          <w:color w:val="595959"/>
          <w:sz w:val="24"/>
          <w:szCs w:val="24"/>
          <w:lang w:eastAsia="ru-RU"/>
        </w:rPr>
      </w:pPr>
      <w:r w:rsidRPr="00613FDA">
        <w:rPr>
          <w:rFonts w:ascii="Arial" w:eastAsia="Times New Roman" w:hAnsi="Arial" w:cs="Arial"/>
          <w:color w:val="595959"/>
          <w:sz w:val="24"/>
          <w:szCs w:val="24"/>
          <w:lang w:eastAsia="ru-RU"/>
        </w:rPr>
        <w:t>На момент выпуска конвертируемые облигации представляют собой заёмный капитал; но впоследствии держатели имеют право обменять их на акции. Это удобный и полезный инструмент, особенно на раннем этапе деятельности компании, поскольку:</w:t>
      </w:r>
    </w:p>
    <w:p w:rsidR="00613FDA" w:rsidRPr="00613FDA" w:rsidRDefault="00613FDA" w:rsidP="00613FDA">
      <w:pPr>
        <w:numPr>
          <w:ilvl w:val="0"/>
          <w:numId w:val="10"/>
        </w:numPr>
        <w:shd w:val="clear" w:color="auto" w:fill="FFFFFF"/>
        <w:spacing w:before="100" w:beforeAutospacing="1" w:after="100" w:afterAutospacing="1" w:line="240" w:lineRule="auto"/>
        <w:ind w:left="-851"/>
        <w:jc w:val="both"/>
        <w:rPr>
          <w:rFonts w:ascii="Arial" w:eastAsia="Times New Roman" w:hAnsi="Arial" w:cs="Arial"/>
          <w:color w:val="595959"/>
          <w:sz w:val="24"/>
          <w:szCs w:val="24"/>
          <w:lang w:eastAsia="ru-RU"/>
        </w:rPr>
      </w:pPr>
      <w:r w:rsidRPr="00613FDA">
        <w:rPr>
          <w:rFonts w:ascii="Arial" w:eastAsia="Times New Roman" w:hAnsi="Arial" w:cs="Arial"/>
          <w:color w:val="595959"/>
          <w:sz w:val="24"/>
          <w:szCs w:val="24"/>
          <w:lang w:eastAsia="ru-RU"/>
        </w:rPr>
        <w:t>На начальном этапе деятельности компании инвесторы, возможно, не пожелают рисковать вкладывать средства в её акции, но при этом могут согласиться вложить средства в долговые ценные бумаги, поскольку они отличаются более низким уровнем риска. Однако долговые ценные бумаги не дают возможности получить прибыль от роста капитала.</w:t>
      </w:r>
    </w:p>
    <w:p w:rsidR="00613FDA" w:rsidRPr="00613FDA" w:rsidRDefault="00613FDA" w:rsidP="00613FDA">
      <w:pPr>
        <w:numPr>
          <w:ilvl w:val="0"/>
          <w:numId w:val="10"/>
        </w:numPr>
        <w:shd w:val="clear" w:color="auto" w:fill="FFFFFF"/>
        <w:spacing w:before="180" w:after="100" w:afterAutospacing="1" w:line="240" w:lineRule="auto"/>
        <w:ind w:left="-851"/>
        <w:jc w:val="both"/>
        <w:rPr>
          <w:rFonts w:ascii="Arial" w:eastAsia="Times New Roman" w:hAnsi="Arial" w:cs="Arial"/>
          <w:color w:val="595959"/>
          <w:sz w:val="24"/>
          <w:szCs w:val="24"/>
          <w:lang w:eastAsia="ru-RU"/>
        </w:rPr>
      </w:pPr>
      <w:r w:rsidRPr="00613FDA">
        <w:rPr>
          <w:rFonts w:ascii="Arial" w:eastAsia="Times New Roman" w:hAnsi="Arial" w:cs="Arial"/>
          <w:color w:val="595959"/>
          <w:sz w:val="24"/>
          <w:szCs w:val="24"/>
          <w:lang w:eastAsia="ru-RU"/>
        </w:rPr>
        <w:t>Если компания-эмитент продемонстрирует умеренные результаты, инвесторы продолжат держать её облигации, не конвертируя их в акции и, по сути, ничем не рискуя.</w:t>
      </w:r>
    </w:p>
    <w:p w:rsidR="00613FDA" w:rsidRPr="00613FDA" w:rsidRDefault="00613FDA" w:rsidP="00613FDA">
      <w:pPr>
        <w:numPr>
          <w:ilvl w:val="0"/>
          <w:numId w:val="10"/>
        </w:numPr>
        <w:shd w:val="clear" w:color="auto" w:fill="FFFFFF"/>
        <w:spacing w:before="180" w:after="100" w:afterAutospacing="1" w:line="240" w:lineRule="auto"/>
        <w:ind w:left="-851"/>
        <w:jc w:val="both"/>
        <w:rPr>
          <w:rFonts w:ascii="Arial" w:eastAsia="Times New Roman" w:hAnsi="Arial" w:cs="Arial"/>
          <w:color w:val="595959"/>
          <w:sz w:val="24"/>
          <w:szCs w:val="24"/>
          <w:lang w:eastAsia="ru-RU"/>
        </w:rPr>
      </w:pPr>
      <w:r w:rsidRPr="00613FDA">
        <w:rPr>
          <w:rFonts w:ascii="Arial" w:eastAsia="Times New Roman" w:hAnsi="Arial" w:cs="Arial"/>
          <w:color w:val="595959"/>
          <w:sz w:val="24"/>
          <w:szCs w:val="24"/>
          <w:lang w:eastAsia="ru-RU"/>
        </w:rPr>
        <w:t>Если же компания-эмитент покажет существенный рост, то инвесторы смогут обменять конвертируемые облигации на акции, получив таким образом прибыль от роста капитала.</w:t>
      </w:r>
    </w:p>
    <w:p w:rsidR="00613FDA" w:rsidRPr="00613FDA" w:rsidRDefault="00613FDA" w:rsidP="00613FDA">
      <w:pPr>
        <w:shd w:val="clear" w:color="auto" w:fill="FFFFFF"/>
        <w:spacing w:before="400" w:after="0" w:line="240" w:lineRule="auto"/>
        <w:ind w:left="-851"/>
        <w:jc w:val="both"/>
        <w:rPr>
          <w:rFonts w:ascii="Arial" w:eastAsia="Times New Roman" w:hAnsi="Arial" w:cs="Arial"/>
          <w:color w:val="595959"/>
          <w:sz w:val="24"/>
          <w:szCs w:val="24"/>
          <w:lang w:eastAsia="ru-RU"/>
        </w:rPr>
      </w:pPr>
      <w:r w:rsidRPr="00613FDA">
        <w:rPr>
          <w:rFonts w:ascii="Arial" w:eastAsia="Times New Roman" w:hAnsi="Arial" w:cs="Arial"/>
          <w:color w:val="595959"/>
          <w:sz w:val="24"/>
          <w:szCs w:val="24"/>
          <w:lang w:eastAsia="ru-RU"/>
        </w:rPr>
        <w:t>Получается, что конвертируемые облигации подходят для инвесторов-сторонников выжидательного подхода. Учитывая возможность их последующего обмена на акции, которые могут существенно вырасти в цене, начальная процентная ставка по таким облигациям может быть даже ниже, чем по аналогичным неконвертируемым облигациям – и это также удобно для компании, привлекающей заёмные средства.</w:t>
      </w:r>
    </w:p>
    <w:p w:rsidR="00613FDA" w:rsidRPr="00613FDA" w:rsidRDefault="00613FDA" w:rsidP="00613FDA">
      <w:pPr>
        <w:shd w:val="clear" w:color="auto" w:fill="FFFFFF"/>
        <w:spacing w:before="600" w:after="0" w:line="240" w:lineRule="auto"/>
        <w:ind w:left="-851"/>
        <w:jc w:val="both"/>
        <w:outlineLvl w:val="2"/>
        <w:rPr>
          <w:rFonts w:ascii="Arial" w:eastAsia="Times New Roman" w:hAnsi="Arial" w:cs="Arial"/>
          <w:b/>
          <w:bCs/>
          <w:color w:val="000000"/>
          <w:sz w:val="27"/>
          <w:szCs w:val="27"/>
          <w:lang w:eastAsia="ru-RU"/>
        </w:rPr>
      </w:pPr>
      <w:r w:rsidRPr="00613FDA">
        <w:rPr>
          <w:rFonts w:ascii="Arial" w:eastAsia="Times New Roman" w:hAnsi="Arial" w:cs="Arial"/>
          <w:b/>
          <w:bCs/>
          <w:color w:val="000000"/>
          <w:sz w:val="27"/>
          <w:szCs w:val="27"/>
          <w:lang w:eastAsia="ru-RU"/>
        </w:rPr>
        <w:lastRenderedPageBreak/>
        <w:t>Финансовый рычаг</w:t>
      </w:r>
    </w:p>
    <w:p w:rsidR="00613FDA" w:rsidRPr="00613FDA" w:rsidRDefault="00613FDA" w:rsidP="00613FDA">
      <w:pPr>
        <w:shd w:val="clear" w:color="auto" w:fill="FFFFFF"/>
        <w:spacing w:before="300" w:after="0" w:line="240" w:lineRule="auto"/>
        <w:ind w:left="-851"/>
        <w:jc w:val="both"/>
        <w:rPr>
          <w:rFonts w:ascii="Arial" w:eastAsia="Times New Roman" w:hAnsi="Arial" w:cs="Arial"/>
          <w:color w:val="595959"/>
          <w:sz w:val="24"/>
          <w:szCs w:val="24"/>
          <w:lang w:eastAsia="ru-RU"/>
        </w:rPr>
      </w:pPr>
      <w:r w:rsidRPr="00613FDA">
        <w:rPr>
          <w:rFonts w:ascii="Arial" w:eastAsia="Times New Roman" w:hAnsi="Arial" w:cs="Arial"/>
          <w:color w:val="595959"/>
          <w:sz w:val="24"/>
          <w:szCs w:val="24"/>
          <w:lang w:eastAsia="ru-RU"/>
        </w:rPr>
        <w:t>Принимая решение о выпуске того или иного вида ценных бумаг, компания всегда должна учитывать среднюю стоимость финансирования. В этой статье мы не будем углубляться в вопросы, касающиеся финансового рычага. Отметим только, что привлечение заёмных средств может поспособствовать снижению стоимости капитала.</w:t>
      </w:r>
    </w:p>
    <w:p w:rsidR="00613FDA" w:rsidRPr="00613FDA" w:rsidRDefault="00613FDA" w:rsidP="00613FDA">
      <w:pPr>
        <w:shd w:val="clear" w:color="auto" w:fill="FFFFFF"/>
        <w:spacing w:before="400" w:after="0" w:line="240" w:lineRule="auto"/>
        <w:ind w:left="-851"/>
        <w:jc w:val="both"/>
        <w:rPr>
          <w:rFonts w:ascii="Arial" w:eastAsia="Times New Roman" w:hAnsi="Arial" w:cs="Arial"/>
          <w:color w:val="595959"/>
          <w:sz w:val="24"/>
          <w:szCs w:val="24"/>
          <w:lang w:eastAsia="ru-RU"/>
        </w:rPr>
      </w:pPr>
      <w:r w:rsidRPr="00613FDA">
        <w:rPr>
          <w:rFonts w:ascii="Arial" w:eastAsia="Times New Roman" w:hAnsi="Arial" w:cs="Arial"/>
          <w:color w:val="595959"/>
          <w:sz w:val="24"/>
          <w:szCs w:val="24"/>
          <w:lang w:eastAsia="ru-RU"/>
        </w:rPr>
        <w:t xml:space="preserve">Если не привлекать заёмные средства, то единственным источником финансирования будет собственный капитал. Связанный с капиталом более высокий уровень риска потребует </w:t>
      </w:r>
      <w:proofErr w:type="spellStart"/>
      <w:r w:rsidRPr="00613FDA">
        <w:rPr>
          <w:rFonts w:ascii="Arial" w:eastAsia="Times New Roman" w:hAnsi="Arial" w:cs="Arial"/>
          <w:color w:val="595959"/>
          <w:sz w:val="24"/>
          <w:szCs w:val="24"/>
          <w:lang w:eastAsia="ru-RU"/>
        </w:rPr>
        <w:t>бóльших</w:t>
      </w:r>
      <w:proofErr w:type="spellEnd"/>
      <w:r w:rsidRPr="00613FDA">
        <w:rPr>
          <w:rFonts w:ascii="Arial" w:eastAsia="Times New Roman" w:hAnsi="Arial" w:cs="Arial"/>
          <w:color w:val="595959"/>
          <w:sz w:val="24"/>
          <w:szCs w:val="24"/>
          <w:lang w:eastAsia="ru-RU"/>
        </w:rPr>
        <w:t xml:space="preserve"> затрат для того, чтобы этот риск компенсировать. Долговое финансирование дешевле, поскольку оно, во-первых, сопряжено с меньшим риском, а во-вторых, проценты являются расходом, уменьшающим налогооблагаемую прибыль.</w:t>
      </w:r>
    </w:p>
    <w:p w:rsidR="00613FDA" w:rsidRPr="00613FDA" w:rsidRDefault="00613FDA" w:rsidP="00613FDA">
      <w:pPr>
        <w:shd w:val="clear" w:color="auto" w:fill="FFFFFF"/>
        <w:spacing w:before="400" w:after="0" w:line="240" w:lineRule="auto"/>
        <w:ind w:left="-851"/>
        <w:jc w:val="both"/>
        <w:rPr>
          <w:rFonts w:ascii="Arial" w:eastAsia="Times New Roman" w:hAnsi="Arial" w:cs="Arial"/>
          <w:color w:val="595959"/>
          <w:sz w:val="24"/>
          <w:szCs w:val="24"/>
          <w:lang w:eastAsia="ru-RU"/>
        </w:rPr>
      </w:pPr>
      <w:r w:rsidRPr="00613FDA">
        <w:rPr>
          <w:rFonts w:ascii="Arial" w:eastAsia="Times New Roman" w:hAnsi="Arial" w:cs="Arial"/>
          <w:color w:val="595959"/>
          <w:sz w:val="24"/>
          <w:szCs w:val="24"/>
          <w:lang w:eastAsia="ru-RU"/>
        </w:rPr>
        <w:t>Поэтому наличие в структуре финансирования заёмных средств позволяет снизить среднюю стоимость капитала. Однако при очень высоком уровне заёмного капитала увеличивается риск дефолта, что приводит к повышению стоимости как заёмного, так и собственного капитала и, как следствие, увеличивает среднюю стоимость финансирования. Вероятно, можно найти оптимальный уровень финансового рычага, который позволил бы минимизировать стоимость финансирования.</w:t>
      </w:r>
    </w:p>
    <w:p w:rsidR="00613FDA" w:rsidRDefault="00613FDA" w:rsidP="00613FDA">
      <w:pPr>
        <w:shd w:val="clear" w:color="auto" w:fill="FFFFFF"/>
        <w:spacing w:before="400" w:after="0" w:line="240" w:lineRule="auto"/>
        <w:ind w:left="-851"/>
        <w:jc w:val="both"/>
        <w:rPr>
          <w:rFonts w:ascii="Arial" w:eastAsia="Times New Roman" w:hAnsi="Arial" w:cs="Arial"/>
          <w:color w:val="595959"/>
          <w:sz w:val="24"/>
          <w:szCs w:val="24"/>
          <w:lang w:eastAsia="ru-RU"/>
        </w:rPr>
      </w:pPr>
      <w:r w:rsidRPr="00613FDA">
        <w:rPr>
          <w:rFonts w:ascii="Arial" w:eastAsia="Times New Roman" w:hAnsi="Arial" w:cs="Arial"/>
          <w:color w:val="595959"/>
          <w:sz w:val="24"/>
          <w:szCs w:val="24"/>
          <w:lang w:eastAsia="ru-RU"/>
        </w:rPr>
        <w:t>Те соображения, касающиеся финансового рычага, которые мы рассмотрели в предыдущем абзаце, представляют собой традиционный взгляд на соотношение собственного и заёмного капитала. Существует и альтернативный подход, предложенный Модильяни и Миллером. Однако их модель применима только для строго определённых условий, которые довольно редко встречаются на практике.</w:t>
      </w:r>
    </w:p>
    <w:p w:rsidR="00613FDA" w:rsidRPr="00F078BB" w:rsidRDefault="00613FDA" w:rsidP="00613FDA">
      <w:pPr>
        <w:ind w:left="-851"/>
        <w:jc w:val="center"/>
        <w:rPr>
          <w:rFonts w:ascii="Times New Roman" w:hAnsi="Times New Roman" w:cs="Times New Roman"/>
          <w:b/>
          <w:sz w:val="28"/>
          <w:szCs w:val="28"/>
        </w:rPr>
      </w:pPr>
      <w:r w:rsidRPr="00F078BB">
        <w:rPr>
          <w:rFonts w:ascii="Times New Roman" w:hAnsi="Times New Roman" w:cs="Times New Roman"/>
          <w:b/>
          <w:sz w:val="28"/>
          <w:szCs w:val="28"/>
        </w:rPr>
        <w:t>Задания для самостоятельной работы:</w:t>
      </w:r>
    </w:p>
    <w:p w:rsidR="00613FDA" w:rsidRDefault="00613FDA" w:rsidP="00613FDA">
      <w:pPr>
        <w:shd w:val="clear" w:color="auto" w:fill="FFFFFF"/>
        <w:spacing w:before="400" w:after="0" w:line="240" w:lineRule="auto"/>
        <w:ind w:left="-851"/>
        <w:jc w:val="both"/>
        <w:rPr>
          <w:rFonts w:ascii="Times New Roman" w:hAnsi="Times New Roman"/>
          <w:color w:val="2E5C8A"/>
          <w:sz w:val="27"/>
          <w:szCs w:val="27"/>
          <w:lang w:eastAsia="ru-RU"/>
        </w:rPr>
      </w:pPr>
      <w:r>
        <w:rPr>
          <w:rFonts w:ascii="Times New Roman" w:hAnsi="Times New Roman"/>
          <w:color w:val="2E5C8A"/>
          <w:sz w:val="27"/>
          <w:szCs w:val="27"/>
          <w:lang w:eastAsia="ru-RU"/>
        </w:rPr>
        <w:t xml:space="preserve">Подготовить письменно в печатном виде три </w:t>
      </w:r>
      <w:proofErr w:type="gramStart"/>
      <w:r>
        <w:rPr>
          <w:rFonts w:ascii="Times New Roman" w:hAnsi="Times New Roman"/>
          <w:color w:val="2E5C8A"/>
          <w:sz w:val="27"/>
          <w:szCs w:val="27"/>
          <w:lang w:eastAsia="ru-RU"/>
        </w:rPr>
        <w:t>ответа,  правильное</w:t>
      </w:r>
      <w:proofErr w:type="gramEnd"/>
      <w:r>
        <w:rPr>
          <w:rFonts w:ascii="Times New Roman" w:hAnsi="Times New Roman"/>
          <w:color w:val="2E5C8A"/>
          <w:sz w:val="27"/>
          <w:szCs w:val="27"/>
          <w:lang w:eastAsia="ru-RU"/>
        </w:rPr>
        <w:t xml:space="preserve"> оформления</w:t>
      </w:r>
    </w:p>
    <w:p w:rsidR="00613FDA" w:rsidRPr="00613FDA" w:rsidRDefault="00613FDA" w:rsidP="00613FDA">
      <w:pPr>
        <w:shd w:val="clear" w:color="auto" w:fill="FFFFFF"/>
        <w:spacing w:before="400" w:after="0" w:line="240" w:lineRule="auto"/>
        <w:ind w:left="-851"/>
        <w:jc w:val="both"/>
        <w:rPr>
          <w:rFonts w:ascii="Arial" w:eastAsia="Times New Roman" w:hAnsi="Arial" w:cs="Arial"/>
          <w:color w:val="595959"/>
          <w:sz w:val="24"/>
          <w:szCs w:val="24"/>
          <w:lang w:eastAsia="ru-RU"/>
        </w:rPr>
      </w:pPr>
      <w:r>
        <w:rPr>
          <w:rFonts w:ascii="Times New Roman" w:hAnsi="Times New Roman"/>
          <w:color w:val="2E5C8A"/>
          <w:sz w:val="27"/>
          <w:szCs w:val="27"/>
          <w:lang w:eastAsia="ru-RU"/>
        </w:rPr>
        <w:t xml:space="preserve">Расписать: </w:t>
      </w:r>
      <w:bookmarkStart w:id="0" w:name="_GoBack"/>
      <w:bookmarkEnd w:id="0"/>
    </w:p>
    <w:p w:rsidR="00613FDA" w:rsidRPr="00613FDA" w:rsidRDefault="00613FDA" w:rsidP="00613FDA">
      <w:pPr>
        <w:numPr>
          <w:ilvl w:val="0"/>
          <w:numId w:val="1"/>
        </w:numPr>
        <w:spacing w:before="100" w:beforeAutospacing="1" w:after="100" w:afterAutospacing="1"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банковские займы и овердрафт;</w:t>
      </w:r>
    </w:p>
    <w:p w:rsidR="00613FDA" w:rsidRPr="00613FDA" w:rsidRDefault="00613FDA" w:rsidP="00613FDA">
      <w:pPr>
        <w:numPr>
          <w:ilvl w:val="0"/>
          <w:numId w:val="1"/>
        </w:numPr>
        <w:spacing w:before="180" w:after="100" w:afterAutospacing="1"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лизинг/аренда с правом последующего выкупа;</w:t>
      </w:r>
    </w:p>
    <w:p w:rsidR="00613FDA" w:rsidRPr="00613FDA" w:rsidRDefault="00613FDA" w:rsidP="00613FDA">
      <w:pPr>
        <w:numPr>
          <w:ilvl w:val="0"/>
          <w:numId w:val="1"/>
        </w:numPr>
        <w:spacing w:before="180" w:after="100" w:afterAutospacing="1"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торговый кредит;</w:t>
      </w:r>
    </w:p>
    <w:p w:rsidR="00613FDA" w:rsidRPr="00613FDA" w:rsidRDefault="00613FDA" w:rsidP="00613FDA">
      <w:pPr>
        <w:numPr>
          <w:ilvl w:val="0"/>
          <w:numId w:val="1"/>
        </w:numPr>
        <w:spacing w:before="180" w:after="100" w:afterAutospacing="1"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государственные гранты, займы и гарантии;</w:t>
      </w:r>
    </w:p>
    <w:p w:rsidR="00613FDA" w:rsidRPr="00613FDA" w:rsidRDefault="00613FDA" w:rsidP="00613FDA">
      <w:pPr>
        <w:numPr>
          <w:ilvl w:val="0"/>
          <w:numId w:val="1"/>
        </w:numPr>
        <w:spacing w:before="180" w:after="100" w:afterAutospacing="1"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венчурный капитал и финансирование неформальными инвесторами;</w:t>
      </w:r>
    </w:p>
    <w:p w:rsidR="00613FDA" w:rsidRPr="00613FDA" w:rsidRDefault="00613FDA" w:rsidP="00613FDA">
      <w:pPr>
        <w:numPr>
          <w:ilvl w:val="0"/>
          <w:numId w:val="1"/>
        </w:numPr>
        <w:spacing w:before="180" w:after="100" w:afterAutospacing="1"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дисконтирование счетов-фактур и факторинг;</w:t>
      </w:r>
    </w:p>
    <w:p w:rsidR="00613FDA" w:rsidRPr="00613FDA" w:rsidRDefault="00613FDA" w:rsidP="00613FDA">
      <w:pPr>
        <w:numPr>
          <w:ilvl w:val="0"/>
          <w:numId w:val="1"/>
        </w:numPr>
        <w:spacing w:before="180" w:after="100" w:afterAutospacing="1" w:line="240" w:lineRule="auto"/>
        <w:ind w:left="-851"/>
        <w:jc w:val="both"/>
        <w:rPr>
          <w:rFonts w:ascii="Arial" w:eastAsia="Times New Roman" w:hAnsi="Arial" w:cs="Arial"/>
          <w:sz w:val="24"/>
          <w:szCs w:val="24"/>
          <w:lang w:eastAsia="ru-RU"/>
        </w:rPr>
      </w:pPr>
      <w:r w:rsidRPr="00613FDA">
        <w:rPr>
          <w:rFonts w:ascii="Arial" w:eastAsia="Times New Roman" w:hAnsi="Arial" w:cs="Arial"/>
          <w:sz w:val="24"/>
          <w:szCs w:val="24"/>
          <w:lang w:eastAsia="ru-RU"/>
        </w:rPr>
        <w:t>нераспределённая прибыль.</w:t>
      </w:r>
    </w:p>
    <w:p w:rsidR="000E601A" w:rsidRDefault="000E601A" w:rsidP="00613FDA">
      <w:pPr>
        <w:ind w:left="-851"/>
        <w:jc w:val="both"/>
      </w:pPr>
    </w:p>
    <w:sectPr w:rsidR="000E601A" w:rsidSect="00613FDA">
      <w:pgSz w:w="11906" w:h="16838"/>
      <w:pgMar w:top="1134" w:right="1274"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694FCF"/>
    <w:multiLevelType w:val="multilevel"/>
    <w:tmpl w:val="21CC0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3B34CD8"/>
    <w:multiLevelType w:val="multilevel"/>
    <w:tmpl w:val="A50063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CD469A5"/>
    <w:multiLevelType w:val="multilevel"/>
    <w:tmpl w:val="7F184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1E54A56"/>
    <w:multiLevelType w:val="multilevel"/>
    <w:tmpl w:val="39C6AE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E48088B"/>
    <w:multiLevelType w:val="multilevel"/>
    <w:tmpl w:val="DB9ED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3944F77"/>
    <w:multiLevelType w:val="multilevel"/>
    <w:tmpl w:val="BA5AC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AEA110E"/>
    <w:multiLevelType w:val="multilevel"/>
    <w:tmpl w:val="F5CE7C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20702F5"/>
    <w:multiLevelType w:val="multilevel"/>
    <w:tmpl w:val="247402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1076E2D"/>
    <w:multiLevelType w:val="multilevel"/>
    <w:tmpl w:val="E2ECF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C5E7697"/>
    <w:multiLevelType w:val="multilevel"/>
    <w:tmpl w:val="AE8A7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4"/>
  </w:num>
  <w:num w:numId="3">
    <w:abstractNumId w:val="2"/>
  </w:num>
  <w:num w:numId="4">
    <w:abstractNumId w:val="9"/>
  </w:num>
  <w:num w:numId="5">
    <w:abstractNumId w:val="6"/>
  </w:num>
  <w:num w:numId="6">
    <w:abstractNumId w:val="0"/>
  </w:num>
  <w:num w:numId="7">
    <w:abstractNumId w:val="5"/>
  </w:num>
  <w:num w:numId="8">
    <w:abstractNumId w:val="8"/>
  </w:num>
  <w:num w:numId="9">
    <w:abstractNumId w:val="7"/>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6980"/>
    <w:rsid w:val="000E601A"/>
    <w:rsid w:val="00613FDA"/>
    <w:rsid w:val="0078698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D2B4A8"/>
  <w15:chartTrackingRefBased/>
  <w15:docId w15:val="{DA72BC70-5ACE-4704-A5B6-434F550EB2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3">
    <w:name w:val="heading 3"/>
    <w:basedOn w:val="a"/>
    <w:link w:val="30"/>
    <w:uiPriority w:val="9"/>
    <w:qFormat/>
    <w:rsid w:val="00613FDA"/>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613FDA"/>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613FDA"/>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58110585">
      <w:bodyDiv w:val="1"/>
      <w:marLeft w:val="0"/>
      <w:marRight w:val="0"/>
      <w:marTop w:val="0"/>
      <w:marBottom w:val="0"/>
      <w:divBdr>
        <w:top w:val="none" w:sz="0" w:space="0" w:color="auto"/>
        <w:left w:val="none" w:sz="0" w:space="0" w:color="auto"/>
        <w:bottom w:val="none" w:sz="0" w:space="0" w:color="auto"/>
        <w:right w:val="none" w:sz="0" w:space="0" w:color="auto"/>
      </w:divBdr>
      <w:divsChild>
        <w:div w:id="763838642">
          <w:marLeft w:val="0"/>
          <w:marRight w:val="0"/>
          <w:marTop w:val="0"/>
          <w:marBottom w:val="0"/>
          <w:divBdr>
            <w:top w:val="none" w:sz="0" w:space="0" w:color="auto"/>
            <w:left w:val="none" w:sz="0" w:space="0" w:color="auto"/>
            <w:bottom w:val="none" w:sz="0" w:space="0" w:color="auto"/>
            <w:right w:val="none" w:sz="0" w:space="0" w:color="auto"/>
          </w:divBdr>
          <w:divsChild>
            <w:div w:id="582178743">
              <w:marLeft w:val="0"/>
              <w:marRight w:val="0"/>
              <w:marTop w:val="0"/>
              <w:marBottom w:val="0"/>
              <w:divBdr>
                <w:top w:val="none" w:sz="0" w:space="0" w:color="auto"/>
                <w:left w:val="none" w:sz="0" w:space="0" w:color="auto"/>
                <w:bottom w:val="none" w:sz="0" w:space="0" w:color="auto"/>
                <w:right w:val="none" w:sz="0" w:space="0" w:color="auto"/>
              </w:divBdr>
              <w:divsChild>
                <w:div w:id="717512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2589727">
          <w:marLeft w:val="0"/>
          <w:marRight w:val="0"/>
          <w:marTop w:val="600"/>
          <w:marBottom w:val="0"/>
          <w:divBdr>
            <w:top w:val="none" w:sz="0" w:space="0" w:color="auto"/>
            <w:left w:val="none" w:sz="0" w:space="0" w:color="auto"/>
            <w:bottom w:val="none" w:sz="0" w:space="0" w:color="auto"/>
            <w:right w:val="none" w:sz="0" w:space="0" w:color="auto"/>
          </w:divBdr>
        </w:div>
        <w:div w:id="2031106412">
          <w:marLeft w:val="0"/>
          <w:marRight w:val="0"/>
          <w:marTop w:val="600"/>
          <w:marBottom w:val="0"/>
          <w:divBdr>
            <w:top w:val="none" w:sz="0" w:space="0" w:color="auto"/>
            <w:left w:val="none" w:sz="0" w:space="0" w:color="auto"/>
            <w:bottom w:val="none" w:sz="0" w:space="0" w:color="auto"/>
            <w:right w:val="none" w:sz="0" w:space="0" w:color="auto"/>
          </w:divBdr>
          <w:divsChild>
            <w:div w:id="374935566">
              <w:marLeft w:val="0"/>
              <w:marRight w:val="0"/>
              <w:marTop w:val="0"/>
              <w:marBottom w:val="0"/>
              <w:divBdr>
                <w:top w:val="none" w:sz="0" w:space="0" w:color="auto"/>
                <w:left w:val="none" w:sz="0" w:space="0" w:color="auto"/>
                <w:bottom w:val="none" w:sz="0" w:space="0" w:color="auto"/>
                <w:right w:val="none" w:sz="0" w:space="0" w:color="auto"/>
              </w:divBdr>
              <w:divsChild>
                <w:div w:id="1737169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132523">
          <w:marLeft w:val="0"/>
          <w:marRight w:val="0"/>
          <w:marTop w:val="600"/>
          <w:marBottom w:val="0"/>
          <w:divBdr>
            <w:top w:val="none" w:sz="0" w:space="0" w:color="auto"/>
            <w:left w:val="none" w:sz="0" w:space="0" w:color="auto"/>
            <w:bottom w:val="none" w:sz="0" w:space="0" w:color="auto"/>
            <w:right w:val="none" w:sz="0" w:space="0" w:color="auto"/>
          </w:divBdr>
          <w:divsChild>
            <w:div w:id="1811825335">
              <w:marLeft w:val="0"/>
              <w:marRight w:val="0"/>
              <w:marTop w:val="600"/>
              <w:marBottom w:val="600"/>
              <w:divBdr>
                <w:top w:val="none" w:sz="0" w:space="0" w:color="auto"/>
                <w:left w:val="none" w:sz="0" w:space="0" w:color="auto"/>
                <w:bottom w:val="none" w:sz="0" w:space="0" w:color="auto"/>
                <w:right w:val="none" w:sz="0" w:space="0" w:color="auto"/>
              </w:divBdr>
              <w:divsChild>
                <w:div w:id="181437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0544135">
          <w:marLeft w:val="0"/>
          <w:marRight w:val="0"/>
          <w:marTop w:val="600"/>
          <w:marBottom w:val="0"/>
          <w:divBdr>
            <w:top w:val="none" w:sz="0" w:space="0" w:color="auto"/>
            <w:left w:val="none" w:sz="0" w:space="0" w:color="auto"/>
            <w:bottom w:val="none" w:sz="0" w:space="0" w:color="auto"/>
            <w:right w:val="none" w:sz="0" w:space="0" w:color="auto"/>
          </w:divBdr>
          <w:divsChild>
            <w:div w:id="1470980174">
              <w:marLeft w:val="0"/>
              <w:marRight w:val="0"/>
              <w:marTop w:val="0"/>
              <w:marBottom w:val="0"/>
              <w:divBdr>
                <w:top w:val="none" w:sz="0" w:space="0" w:color="auto"/>
                <w:left w:val="none" w:sz="0" w:space="0" w:color="auto"/>
                <w:bottom w:val="none" w:sz="0" w:space="0" w:color="auto"/>
                <w:right w:val="none" w:sz="0" w:space="0" w:color="auto"/>
              </w:divBdr>
              <w:divsChild>
                <w:div w:id="169877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291565">
          <w:marLeft w:val="0"/>
          <w:marRight w:val="0"/>
          <w:marTop w:val="600"/>
          <w:marBottom w:val="0"/>
          <w:divBdr>
            <w:top w:val="none" w:sz="0" w:space="0" w:color="auto"/>
            <w:left w:val="none" w:sz="0" w:space="0" w:color="auto"/>
            <w:bottom w:val="none" w:sz="0" w:space="0" w:color="auto"/>
            <w:right w:val="none" w:sz="0" w:space="0" w:color="auto"/>
          </w:divBdr>
          <w:divsChild>
            <w:div w:id="1956517711">
              <w:marLeft w:val="0"/>
              <w:marRight w:val="0"/>
              <w:marTop w:val="600"/>
              <w:marBottom w:val="600"/>
              <w:divBdr>
                <w:top w:val="none" w:sz="0" w:space="0" w:color="auto"/>
                <w:left w:val="none" w:sz="0" w:space="0" w:color="auto"/>
                <w:bottom w:val="none" w:sz="0" w:space="0" w:color="auto"/>
                <w:right w:val="none" w:sz="0" w:space="0" w:color="auto"/>
              </w:divBdr>
              <w:divsChild>
                <w:div w:id="1973367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6734795">
          <w:marLeft w:val="0"/>
          <w:marRight w:val="0"/>
          <w:marTop w:val="600"/>
          <w:marBottom w:val="0"/>
          <w:divBdr>
            <w:top w:val="none" w:sz="0" w:space="0" w:color="auto"/>
            <w:left w:val="none" w:sz="0" w:space="0" w:color="auto"/>
            <w:bottom w:val="none" w:sz="0" w:space="0" w:color="auto"/>
            <w:right w:val="none" w:sz="0" w:space="0" w:color="auto"/>
          </w:divBdr>
          <w:divsChild>
            <w:div w:id="1077484634">
              <w:marLeft w:val="0"/>
              <w:marRight w:val="0"/>
              <w:marTop w:val="0"/>
              <w:marBottom w:val="0"/>
              <w:divBdr>
                <w:top w:val="none" w:sz="0" w:space="0" w:color="auto"/>
                <w:left w:val="none" w:sz="0" w:space="0" w:color="auto"/>
                <w:bottom w:val="none" w:sz="0" w:space="0" w:color="auto"/>
                <w:right w:val="none" w:sz="0" w:space="0" w:color="auto"/>
              </w:divBdr>
              <w:divsChild>
                <w:div w:id="1136722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11</Pages>
  <Words>3575</Words>
  <Characters>20378</Characters>
  <Application>Microsoft Office Word</Application>
  <DocSecurity>0</DocSecurity>
  <Lines>169</Lines>
  <Paragraphs>47</Paragraphs>
  <ScaleCrop>false</ScaleCrop>
  <Company/>
  <LinksUpToDate>false</LinksUpToDate>
  <CharactersWithSpaces>23906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Алёна Хакимова</dc:creator>
  <cp:keywords/>
  <dc:description/>
  <cp:lastModifiedBy>Алёна Хакимова</cp:lastModifiedBy>
  <cp:revision>2</cp:revision>
  <dcterms:created xsi:type="dcterms:W3CDTF">2025-09-29T04:58:00Z</dcterms:created>
  <dcterms:modified xsi:type="dcterms:W3CDTF">2025-09-29T05:02:00Z</dcterms:modified>
</cp:coreProperties>
</file>